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D7" w:rsidRDefault="007B7FD7" w:rsidP="007B7FD7">
      <w:pPr>
        <w:jc w:val="center"/>
        <w:rPr>
          <w:b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w:drawing>
          <wp:inline distT="0" distB="0" distL="0" distR="0" wp14:anchorId="7F3358C8" wp14:editId="6FE1E2B2">
            <wp:extent cx="2053087" cy="507328"/>
            <wp:effectExtent l="0" t="0" r="4445" b="7620"/>
            <wp:docPr id="1" name="Picture 1" descr="cid:676D8F52-C98A-43BA-8002-618CDE029D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76D8F52-C98A-43BA-8002-618CDE029D4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97" cy="51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44" w:rsidRPr="0046695F" w:rsidRDefault="004241E1" w:rsidP="007B7FD7">
      <w:pPr>
        <w:jc w:val="center"/>
        <w:rPr>
          <w:b/>
          <w:sz w:val="40"/>
          <w:szCs w:val="40"/>
        </w:rPr>
      </w:pPr>
      <w:r w:rsidRPr="0046695F">
        <w:rPr>
          <w:b/>
          <w:sz w:val="40"/>
          <w:szCs w:val="40"/>
        </w:rPr>
        <w:t>Community Safety</w:t>
      </w:r>
      <w:r w:rsidR="007B7FD7" w:rsidRPr="0046695F">
        <w:rPr>
          <w:b/>
          <w:sz w:val="40"/>
          <w:szCs w:val="40"/>
        </w:rPr>
        <w:t xml:space="preserve"> 201</w:t>
      </w:r>
      <w:r w:rsidRPr="0046695F">
        <w:rPr>
          <w:b/>
          <w:sz w:val="40"/>
          <w:szCs w:val="40"/>
        </w:rPr>
        <w:t>5</w:t>
      </w:r>
      <w:r w:rsidR="007B7FD7" w:rsidRPr="0046695F">
        <w:rPr>
          <w:b/>
          <w:sz w:val="40"/>
          <w:szCs w:val="40"/>
        </w:rPr>
        <w:t xml:space="preserve"> Action Plan</w:t>
      </w:r>
    </w:p>
    <w:tbl>
      <w:tblPr>
        <w:tblW w:w="15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992"/>
        <w:gridCol w:w="142"/>
        <w:gridCol w:w="4536"/>
        <w:gridCol w:w="850"/>
        <w:gridCol w:w="142"/>
        <w:gridCol w:w="851"/>
        <w:gridCol w:w="850"/>
        <w:gridCol w:w="1044"/>
        <w:gridCol w:w="2311"/>
      </w:tblGrid>
      <w:tr w:rsidR="008900D3" w:rsidRPr="00E9027D" w:rsidTr="003827AC">
        <w:trPr>
          <w:trHeight w:val="709"/>
        </w:trPr>
        <w:tc>
          <w:tcPr>
            <w:tcW w:w="3686" w:type="dxa"/>
            <w:gridSpan w:val="2"/>
            <w:shd w:val="clear" w:color="auto" w:fill="D9D9D9"/>
          </w:tcPr>
          <w:p w:rsidR="008900D3" w:rsidRPr="00E9027D" w:rsidRDefault="003827AC" w:rsidP="00583B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‘insight’ recommendation</w:t>
            </w:r>
          </w:p>
        </w:tc>
        <w:tc>
          <w:tcPr>
            <w:tcW w:w="992" w:type="dxa"/>
            <w:shd w:val="clear" w:color="auto" w:fill="D9D9D9"/>
          </w:tcPr>
          <w:p w:rsidR="008900D3" w:rsidRPr="00E9027D" w:rsidRDefault="003827AC" w:rsidP="003827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Verdict</w:t>
            </w:r>
          </w:p>
        </w:tc>
        <w:tc>
          <w:tcPr>
            <w:tcW w:w="4678" w:type="dxa"/>
            <w:gridSpan w:val="2"/>
            <w:shd w:val="clear" w:color="auto" w:fill="D9D9D9"/>
          </w:tcPr>
          <w:p w:rsidR="008900D3" w:rsidRPr="00E9027D" w:rsidRDefault="008900D3" w:rsidP="00583B44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Actions</w:t>
            </w:r>
          </w:p>
        </w:tc>
        <w:tc>
          <w:tcPr>
            <w:tcW w:w="850" w:type="dxa"/>
            <w:shd w:val="clear" w:color="auto" w:fill="D9D9D9"/>
          </w:tcPr>
          <w:p w:rsidR="008900D3" w:rsidRPr="00E9027D" w:rsidRDefault="008900D3" w:rsidP="0046695F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E9027D">
              <w:rPr>
                <w:rFonts w:cstheme="minorHAnsi"/>
                <w:b/>
              </w:rPr>
              <w:t>Resp</w:t>
            </w:r>
            <w:proofErr w:type="spellEnd"/>
            <w:r w:rsidRPr="00E9027D">
              <w:rPr>
                <w:rFonts w:cstheme="minorHAnsi"/>
                <w:b/>
              </w:rPr>
              <w:t xml:space="preserve"> Officer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8900D3" w:rsidRPr="00E9027D" w:rsidRDefault="008900D3" w:rsidP="0046695F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Priority</w:t>
            </w:r>
          </w:p>
        </w:tc>
        <w:tc>
          <w:tcPr>
            <w:tcW w:w="850" w:type="dxa"/>
            <w:shd w:val="clear" w:color="auto" w:fill="D9D9D9"/>
          </w:tcPr>
          <w:p w:rsidR="008900D3" w:rsidRPr="00E9027D" w:rsidRDefault="008900D3" w:rsidP="0046695F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Comp Date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D9D9D9"/>
          </w:tcPr>
          <w:p w:rsidR="008900D3" w:rsidRPr="00E9027D" w:rsidRDefault="008900D3" w:rsidP="0046695F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Progress Status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D9D9D9"/>
          </w:tcPr>
          <w:p w:rsidR="008900D3" w:rsidRPr="00E9027D" w:rsidRDefault="008900D3" w:rsidP="00583B44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Update</w:t>
            </w:r>
          </w:p>
        </w:tc>
      </w:tr>
      <w:tr w:rsidR="0026052B" w:rsidRPr="00E9027D" w:rsidTr="00A22FD1">
        <w:trPr>
          <w:trHeight w:val="294"/>
        </w:trPr>
        <w:tc>
          <w:tcPr>
            <w:tcW w:w="15404" w:type="dxa"/>
            <w:gridSpan w:val="11"/>
            <w:shd w:val="clear" w:color="auto" w:fill="F2F2F2" w:themeFill="background1" w:themeFillShade="F2"/>
          </w:tcPr>
          <w:p w:rsidR="0026052B" w:rsidRPr="00E9027D" w:rsidRDefault="0026052B" w:rsidP="006A46F5">
            <w:pPr>
              <w:tabs>
                <w:tab w:val="left" w:pos="360"/>
                <w:tab w:val="center" w:pos="1065"/>
              </w:tabs>
              <w:spacing w:before="60" w:after="0" w:line="240" w:lineRule="auto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 xml:space="preserve">1. </w:t>
            </w:r>
            <w:r w:rsidR="0057171F">
              <w:rPr>
                <w:rFonts w:cstheme="minorHAnsi"/>
                <w:b/>
              </w:rPr>
              <w:t xml:space="preserve">Improving service value for the customer </w:t>
            </w:r>
          </w:p>
        </w:tc>
      </w:tr>
      <w:tr w:rsidR="0026052B" w:rsidRPr="00E9027D" w:rsidTr="003827AC">
        <w:trPr>
          <w:trHeight w:val="599"/>
        </w:trPr>
        <w:tc>
          <w:tcPr>
            <w:tcW w:w="567" w:type="dxa"/>
            <w:shd w:val="clear" w:color="auto" w:fill="auto"/>
          </w:tcPr>
          <w:p w:rsidR="0026052B" w:rsidRPr="00E9027D" w:rsidRDefault="009577FF" w:rsidP="001C39AB">
            <w:pPr>
              <w:jc w:val="center"/>
              <w:rPr>
                <w:rFonts w:cstheme="minorHAnsi"/>
                <w:b/>
              </w:rPr>
            </w:pPr>
            <w:bookmarkStart w:id="0" w:name="_GoBack" w:colFirst="0" w:colLast="0"/>
            <w:r>
              <w:rPr>
                <w:rFonts w:cstheme="minorHAnsi"/>
                <w:b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E85C43" w:rsidRDefault="008900D3" w:rsidP="00634D1F">
            <w:pPr>
              <w:spacing w:after="0" w:line="240" w:lineRule="auto"/>
              <w:rPr>
                <w:rFonts w:ascii="Calibri" w:hAnsi="Calibri" w:cs="Calibri"/>
              </w:rPr>
            </w:pPr>
            <w:r w:rsidRPr="00B62136">
              <w:rPr>
                <w:rFonts w:ascii="Calibri" w:hAnsi="Calibri" w:cs="Calibri"/>
              </w:rPr>
              <w:t xml:space="preserve">Insight believes that the Community Safety Duty Officer should be available during the same time as </w:t>
            </w:r>
            <w:r w:rsidR="00BE34D3">
              <w:rPr>
                <w:rFonts w:ascii="Calibri" w:hAnsi="Calibri" w:cs="Calibri"/>
              </w:rPr>
              <w:t xml:space="preserve">the </w:t>
            </w:r>
            <w:r w:rsidRPr="00B62136">
              <w:rPr>
                <w:rFonts w:ascii="Calibri" w:hAnsi="Calibri" w:cs="Calibri"/>
              </w:rPr>
              <w:t xml:space="preserve">CAT </w:t>
            </w:r>
            <w:r w:rsidR="00634D1F">
              <w:rPr>
                <w:rFonts w:ascii="Calibri" w:hAnsi="Calibri" w:cs="Calibri"/>
              </w:rPr>
              <w:t xml:space="preserve">service </w:t>
            </w:r>
            <w:r w:rsidRPr="00B62136">
              <w:rPr>
                <w:rFonts w:ascii="Calibri" w:hAnsi="Calibri" w:cs="Calibri"/>
              </w:rPr>
              <w:t>and not just</w:t>
            </w:r>
            <w:r w:rsidR="003827AC" w:rsidRPr="00B62136">
              <w:rPr>
                <w:rFonts w:ascii="Calibri" w:hAnsi="Calibri" w:cs="Calibri"/>
              </w:rPr>
              <w:t xml:space="preserve"> </w:t>
            </w:r>
            <w:r w:rsidRPr="00B62136">
              <w:rPr>
                <w:rFonts w:ascii="Calibri" w:hAnsi="Calibri" w:cs="Calibri"/>
              </w:rPr>
              <w:t>10</w:t>
            </w:r>
            <w:r w:rsidR="00634D1F">
              <w:rPr>
                <w:rFonts w:ascii="Calibri" w:hAnsi="Calibri" w:cs="Calibri"/>
              </w:rPr>
              <w:t xml:space="preserve">.00 – </w:t>
            </w:r>
            <w:r w:rsidRPr="00B62136">
              <w:rPr>
                <w:rFonts w:ascii="Calibri" w:hAnsi="Calibri" w:cs="Calibri"/>
              </w:rPr>
              <w:t>4</w:t>
            </w:r>
            <w:r w:rsidR="00634D1F">
              <w:rPr>
                <w:rFonts w:ascii="Calibri" w:hAnsi="Calibri" w:cs="Calibri"/>
              </w:rPr>
              <w:t xml:space="preserve">.00 </w:t>
            </w:r>
            <w:r w:rsidRPr="00B62136">
              <w:rPr>
                <w:rFonts w:ascii="Calibri" w:hAnsi="Calibri" w:cs="Calibri"/>
              </w:rPr>
              <w:t>pm as presently available.</w:t>
            </w:r>
          </w:p>
          <w:p w:rsidR="00634D1F" w:rsidRPr="00B62136" w:rsidRDefault="00634D1F" w:rsidP="00634D1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26052B" w:rsidRPr="00E9027D" w:rsidRDefault="004A644E" w:rsidP="008900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Partially</w:t>
            </w:r>
            <w:r w:rsidR="004B438A">
              <w:rPr>
                <w:rFonts w:cstheme="minorHAnsi"/>
              </w:rPr>
              <w:t xml:space="preserve"> Agreed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14505" w:rsidRDefault="00430C1B" w:rsidP="00634D1F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A644E">
              <w:rPr>
                <w:rFonts w:cstheme="minorHAnsi"/>
              </w:rPr>
              <w:t>xtend Duty to 9-5pm</w:t>
            </w:r>
            <w:r w:rsidR="00603BB9">
              <w:rPr>
                <w:rFonts w:cstheme="minorHAnsi"/>
              </w:rPr>
              <w:t xml:space="preserve"> as an interim measure</w:t>
            </w:r>
            <w:r w:rsidR="00614505">
              <w:rPr>
                <w:rFonts w:cstheme="minorHAnsi"/>
              </w:rPr>
              <w:t>.</w:t>
            </w:r>
          </w:p>
          <w:p w:rsidR="0026052B" w:rsidRPr="00E9027D" w:rsidRDefault="00614505" w:rsidP="00634D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4A644E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 xml:space="preserve">timescales in 6 months from this date once work with CAT and Igloo has been completed, to agree further development of </w:t>
            </w:r>
            <w:r w:rsidR="00BE34D3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Duty </w:t>
            </w:r>
            <w:r w:rsidR="00634D1F">
              <w:rPr>
                <w:rFonts w:cstheme="minorHAnsi"/>
              </w:rPr>
              <w:t xml:space="preserve">Officer </w:t>
            </w:r>
            <w:r>
              <w:rPr>
                <w:rFonts w:cstheme="minorHAnsi"/>
              </w:rPr>
              <w:t>function to scope offer of 8</w:t>
            </w:r>
            <w:r w:rsidR="00BE34D3">
              <w:rPr>
                <w:rFonts w:cstheme="minorHAnsi"/>
              </w:rPr>
              <w:t xml:space="preserve">.00 </w:t>
            </w:r>
            <w:r>
              <w:rPr>
                <w:rFonts w:cstheme="minorHAnsi"/>
              </w:rPr>
              <w:t>-6</w:t>
            </w:r>
            <w:r w:rsidR="000B0884">
              <w:rPr>
                <w:rFonts w:cstheme="minorHAnsi"/>
              </w:rPr>
              <w:t>.</w:t>
            </w:r>
            <w:r w:rsidR="00BE34D3">
              <w:rPr>
                <w:rFonts w:cstheme="minorHAnsi"/>
              </w:rPr>
              <w:t>00 pm</w:t>
            </w:r>
          </w:p>
        </w:tc>
        <w:tc>
          <w:tcPr>
            <w:tcW w:w="850" w:type="dxa"/>
            <w:shd w:val="clear" w:color="auto" w:fill="auto"/>
          </w:tcPr>
          <w:p w:rsidR="0026052B" w:rsidRPr="00E9027D" w:rsidRDefault="00B1335E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993" w:type="dxa"/>
            <w:gridSpan w:val="2"/>
          </w:tcPr>
          <w:p w:rsidR="0026052B" w:rsidRPr="00E9027D" w:rsidRDefault="00614505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14505" w:rsidRDefault="00614505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01/08/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15</w:t>
            </w:r>
          </w:p>
          <w:p w:rsidR="00614505" w:rsidRPr="00E9027D" w:rsidRDefault="00614505" w:rsidP="00614505">
            <w:pPr>
              <w:rPr>
                <w:rFonts w:cstheme="minorHAnsi"/>
              </w:rPr>
            </w:pPr>
            <w:r>
              <w:rPr>
                <w:rFonts w:cstheme="minorHAnsi"/>
              </w:rPr>
              <w:t>28/02/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16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26052B" w:rsidRPr="00E9027D" w:rsidRDefault="0026052B" w:rsidP="00583B44">
            <w:pPr>
              <w:tabs>
                <w:tab w:val="left" w:pos="360"/>
                <w:tab w:val="center" w:pos="1065"/>
              </w:tabs>
              <w:rPr>
                <w:rFonts w:cstheme="minorHAnsi"/>
                <w:b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:rsidR="0026052B" w:rsidRPr="00E9027D" w:rsidRDefault="0026052B" w:rsidP="00583B44">
            <w:pPr>
              <w:tabs>
                <w:tab w:val="left" w:pos="360"/>
                <w:tab w:val="center" w:pos="1065"/>
              </w:tabs>
              <w:rPr>
                <w:rFonts w:cstheme="minorHAnsi"/>
              </w:rPr>
            </w:pPr>
          </w:p>
        </w:tc>
      </w:tr>
      <w:tr w:rsidR="0026052B" w:rsidRPr="00E9027D" w:rsidTr="003827AC">
        <w:trPr>
          <w:trHeight w:val="735"/>
        </w:trPr>
        <w:tc>
          <w:tcPr>
            <w:tcW w:w="567" w:type="dxa"/>
            <w:shd w:val="clear" w:color="auto" w:fill="auto"/>
          </w:tcPr>
          <w:p w:rsidR="0026052B" w:rsidRPr="00E9027D" w:rsidRDefault="009577FF" w:rsidP="001C39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9E28F2" w:rsidRPr="00B62136" w:rsidRDefault="009E28F2" w:rsidP="00A87BD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62136">
              <w:rPr>
                <w:rFonts w:ascii="Calibri" w:hAnsi="Calibri" w:cs="Calibri"/>
              </w:rPr>
              <w:t xml:space="preserve">Customers wanted to know exactly what action will be taken as a result of their call.  Insight believes what is agreed to happen as a result of a call should be detailed for the individual complainant in writing. </w:t>
            </w:r>
          </w:p>
        </w:tc>
        <w:tc>
          <w:tcPr>
            <w:tcW w:w="992" w:type="dxa"/>
          </w:tcPr>
          <w:p w:rsidR="0026052B" w:rsidRDefault="0038228E" w:rsidP="008900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  <w:r w:rsidR="004B438A">
              <w:rPr>
                <w:rFonts w:cstheme="minorHAnsi"/>
              </w:rPr>
              <w:t>d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C7A74" w:rsidRDefault="0038228E" w:rsidP="003C7A74">
            <w:pPr>
              <w:rPr>
                <w:rFonts w:cstheme="minorHAnsi"/>
              </w:rPr>
            </w:pPr>
            <w:r>
              <w:rPr>
                <w:rFonts w:cstheme="minorHAnsi"/>
              </w:rPr>
              <w:t>Action Plan</w:t>
            </w:r>
            <w:r w:rsidR="00614505">
              <w:rPr>
                <w:rFonts w:cstheme="minorHAnsi"/>
              </w:rPr>
              <w:t xml:space="preserve"> letter</w:t>
            </w:r>
            <w:r>
              <w:rPr>
                <w:rFonts w:cstheme="minorHAnsi"/>
              </w:rPr>
              <w:t xml:space="preserve"> to alway</w:t>
            </w:r>
            <w:r w:rsidR="00A42744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go out to customer</w:t>
            </w:r>
            <w:r w:rsidR="00D854B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(where appropriate)</w:t>
            </w:r>
            <w:r w:rsidR="00B1335E">
              <w:rPr>
                <w:rFonts w:cstheme="minorHAnsi"/>
              </w:rPr>
              <w:t>.</w:t>
            </w:r>
            <w:r w:rsidR="00D854BE">
              <w:rPr>
                <w:rFonts w:cstheme="minorHAnsi"/>
              </w:rPr>
              <w:t xml:space="preserve"> </w:t>
            </w:r>
            <w:r w:rsidR="00BE34D3">
              <w:rPr>
                <w:rFonts w:cstheme="minorHAnsi"/>
              </w:rPr>
              <w:t xml:space="preserve"> </w:t>
            </w:r>
            <w:r w:rsidR="00D854BE">
              <w:rPr>
                <w:rFonts w:cstheme="minorHAnsi"/>
              </w:rPr>
              <w:t>This is already part of the process documentation.</w:t>
            </w:r>
          </w:p>
          <w:p w:rsidR="00D854BE" w:rsidRPr="00D854BE" w:rsidRDefault="00D854BE" w:rsidP="003C7A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Blind case checks will start taking place from July </w:t>
            </w:r>
            <w:r w:rsidR="00BE34D3">
              <w:rPr>
                <w:rFonts w:cstheme="minorHAnsi"/>
              </w:rPr>
              <w:t xml:space="preserve">2015 </w:t>
            </w:r>
            <w:r>
              <w:rPr>
                <w:rFonts w:cstheme="minorHAnsi"/>
              </w:rPr>
              <w:t>specifically focussing on this recommendation.</w:t>
            </w:r>
          </w:p>
        </w:tc>
        <w:tc>
          <w:tcPr>
            <w:tcW w:w="850" w:type="dxa"/>
            <w:shd w:val="clear" w:color="auto" w:fill="auto"/>
          </w:tcPr>
          <w:p w:rsidR="0026052B" w:rsidRPr="00E9027D" w:rsidRDefault="0038228E" w:rsidP="006145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993" w:type="dxa"/>
            <w:gridSpan w:val="2"/>
          </w:tcPr>
          <w:p w:rsidR="0026052B" w:rsidRPr="00E9027D" w:rsidRDefault="00614505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6052B" w:rsidRPr="00E9027D" w:rsidRDefault="00E5750C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01/07/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26052B" w:rsidRPr="00E9027D" w:rsidRDefault="0026052B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26052B" w:rsidRPr="00E9027D" w:rsidRDefault="0026052B" w:rsidP="00583B44">
            <w:pPr>
              <w:rPr>
                <w:rFonts w:cstheme="minorHAnsi"/>
              </w:rPr>
            </w:pPr>
          </w:p>
        </w:tc>
      </w:tr>
      <w:tr w:rsidR="00FC1BAD" w:rsidRPr="00E9027D" w:rsidTr="003827AC">
        <w:trPr>
          <w:trHeight w:val="735"/>
        </w:trPr>
        <w:tc>
          <w:tcPr>
            <w:tcW w:w="567" w:type="dxa"/>
            <w:shd w:val="clear" w:color="auto" w:fill="auto"/>
          </w:tcPr>
          <w:p w:rsidR="00FC1BAD" w:rsidRPr="00E9027D" w:rsidRDefault="00FC1BAD" w:rsidP="001C39AB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1.</w:t>
            </w:r>
            <w:r w:rsidR="001C39AB">
              <w:rPr>
                <w:rFonts w:cstheme="minorHAnsi"/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7BD0" w:rsidRDefault="00A87BD0" w:rsidP="002102ED">
            <w:pPr>
              <w:spacing w:after="0" w:line="240" w:lineRule="auto"/>
              <w:jc w:val="both"/>
              <w:rPr>
                <w:rFonts w:cstheme="minorHAnsi"/>
              </w:rPr>
            </w:pPr>
            <w:r w:rsidRPr="00B62136">
              <w:rPr>
                <w:rFonts w:cstheme="minorHAnsi"/>
              </w:rPr>
              <w:t>Insight would like to see more promotion of what the s</w:t>
            </w:r>
            <w:r w:rsidR="00F135EF">
              <w:rPr>
                <w:rFonts w:cstheme="minorHAnsi"/>
              </w:rPr>
              <w:t>ervice can achieve and outcomes, in the press, in my Great Place, on the website, local publications, leaflets &amp; video clips.</w:t>
            </w:r>
          </w:p>
          <w:p w:rsidR="006A46F5" w:rsidRPr="00E9027D" w:rsidRDefault="006A46F5" w:rsidP="002102E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FC1BAD" w:rsidRDefault="00B72649" w:rsidP="008900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  <w:r w:rsidR="004B438A">
              <w:rPr>
                <w:rFonts w:cstheme="minorHAnsi"/>
              </w:rPr>
              <w:t>d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C1BAD" w:rsidRPr="00E9027D" w:rsidRDefault="00E5750C" w:rsidP="00D777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Current Communication </w:t>
            </w:r>
            <w:r w:rsidR="008675F4">
              <w:rPr>
                <w:rFonts w:cstheme="minorHAnsi"/>
              </w:rPr>
              <w:t>P</w:t>
            </w:r>
            <w:r>
              <w:rPr>
                <w:rFonts w:cstheme="minorHAnsi"/>
              </w:rPr>
              <w:t>lan (2014</w:t>
            </w:r>
            <w:r w:rsidR="008675F4">
              <w:rPr>
                <w:rFonts w:cstheme="minorHAnsi"/>
              </w:rPr>
              <w:t>-15</w:t>
            </w:r>
            <w:r>
              <w:rPr>
                <w:rFonts w:cstheme="minorHAnsi"/>
              </w:rPr>
              <w:t>) to be reviewed and amended to incorporate a strategy for each of the raised</w:t>
            </w:r>
            <w:r w:rsidR="00D77706">
              <w:rPr>
                <w:rFonts w:cstheme="minorHAnsi"/>
              </w:rPr>
              <w:t xml:space="preserve"> points.</w:t>
            </w:r>
          </w:p>
        </w:tc>
        <w:tc>
          <w:tcPr>
            <w:tcW w:w="850" w:type="dxa"/>
            <w:shd w:val="clear" w:color="auto" w:fill="auto"/>
          </w:tcPr>
          <w:p w:rsidR="00FC1BAD" w:rsidRPr="00E9027D" w:rsidRDefault="006D20B1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="00B1335E">
              <w:rPr>
                <w:rFonts w:cstheme="minorHAnsi"/>
              </w:rPr>
              <w:t>/</w:t>
            </w:r>
            <w:proofErr w:type="spellStart"/>
            <w:r w:rsidR="00B1335E">
              <w:rPr>
                <w:rFonts w:cstheme="minorHAnsi"/>
              </w:rPr>
              <w:t>Comms</w:t>
            </w:r>
            <w:proofErr w:type="spellEnd"/>
          </w:p>
        </w:tc>
        <w:tc>
          <w:tcPr>
            <w:tcW w:w="993" w:type="dxa"/>
            <w:gridSpan w:val="2"/>
          </w:tcPr>
          <w:p w:rsidR="00FC1BAD" w:rsidRPr="00E9027D" w:rsidRDefault="00E5750C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1BAD" w:rsidRPr="00E9027D" w:rsidRDefault="00E5750C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01/03/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16</w:t>
            </w:r>
          </w:p>
        </w:tc>
        <w:tc>
          <w:tcPr>
            <w:tcW w:w="1044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C1BAD" w:rsidRPr="00E9027D" w:rsidRDefault="00FC1BAD" w:rsidP="00583B44">
            <w:pPr>
              <w:rPr>
                <w:rFonts w:cstheme="minorHAnsi"/>
              </w:rPr>
            </w:pPr>
          </w:p>
        </w:tc>
      </w:tr>
      <w:bookmarkEnd w:id="0"/>
      <w:tr w:rsidR="008A4392" w:rsidRPr="00E9027D" w:rsidTr="003827AC">
        <w:trPr>
          <w:trHeight w:val="735"/>
        </w:trPr>
        <w:tc>
          <w:tcPr>
            <w:tcW w:w="567" w:type="dxa"/>
            <w:shd w:val="clear" w:color="auto" w:fill="auto"/>
          </w:tcPr>
          <w:p w:rsidR="008A4392" w:rsidRPr="00E9027D" w:rsidRDefault="008A4392" w:rsidP="001C39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1C39AB">
              <w:rPr>
                <w:rFonts w:cstheme="minorHAnsi"/>
                <w:b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A4392" w:rsidRDefault="008A4392" w:rsidP="00026B69">
            <w:pPr>
              <w:spacing w:after="0" w:line="240" w:lineRule="auto"/>
              <w:rPr>
                <w:rFonts w:ascii="Calibri" w:hAnsi="Calibri" w:cs="Calibri"/>
              </w:rPr>
            </w:pPr>
            <w:r w:rsidRPr="00B62136">
              <w:rPr>
                <w:rFonts w:ascii="Calibri" w:hAnsi="Calibri" w:cs="Calibri"/>
              </w:rPr>
              <w:t xml:space="preserve">Great Places to raise awareness of </w:t>
            </w:r>
            <w:r w:rsidR="00D77706">
              <w:rPr>
                <w:rFonts w:ascii="Calibri" w:hAnsi="Calibri" w:cs="Calibri"/>
              </w:rPr>
              <w:t xml:space="preserve">the </w:t>
            </w:r>
            <w:r w:rsidRPr="00B62136">
              <w:rPr>
                <w:rFonts w:ascii="Calibri" w:hAnsi="Calibri" w:cs="Calibri"/>
              </w:rPr>
              <w:t xml:space="preserve">service in </w:t>
            </w:r>
            <w:r w:rsidR="00A22FD1">
              <w:rPr>
                <w:rFonts w:ascii="Calibri" w:hAnsi="Calibri" w:cs="Calibri"/>
              </w:rPr>
              <w:t xml:space="preserve">local </w:t>
            </w:r>
            <w:r w:rsidR="00026B69">
              <w:rPr>
                <w:rFonts w:ascii="Calibri" w:hAnsi="Calibri" w:cs="Calibri"/>
              </w:rPr>
              <w:t>n</w:t>
            </w:r>
            <w:r w:rsidRPr="00B62136">
              <w:rPr>
                <w:rFonts w:ascii="Calibri" w:hAnsi="Calibri" w:cs="Calibri"/>
              </w:rPr>
              <w:t>eighbourhoods encouraging reporting and to guide communities to support those who suffer from nuisance.</w:t>
            </w:r>
          </w:p>
          <w:p w:rsidR="00026B69" w:rsidRPr="00B62136" w:rsidRDefault="00026B69" w:rsidP="00026B6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8A4392" w:rsidRDefault="008A4392" w:rsidP="003C071F">
            <w:pPr>
              <w:rPr>
                <w:rFonts w:cstheme="minorHAnsi"/>
              </w:rPr>
            </w:pPr>
            <w:r>
              <w:rPr>
                <w:rFonts w:cstheme="minorHAnsi"/>
              </w:rPr>
              <w:t>Agreed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A4392" w:rsidRPr="00E9027D" w:rsidRDefault="00E5750C" w:rsidP="00A22FD1">
            <w:pPr>
              <w:rPr>
                <w:rFonts w:cstheme="minorHAnsi"/>
              </w:rPr>
            </w:pPr>
            <w:r>
              <w:rPr>
                <w:rFonts w:cstheme="minorHAnsi"/>
              </w:rPr>
              <w:t>To  be included in the Communication Plan as per 1.</w:t>
            </w:r>
            <w:r w:rsidR="00A22FD1">
              <w:rPr>
                <w:rFonts w:cstheme="minorHAns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4392" w:rsidRPr="00E9027D" w:rsidRDefault="008A4392" w:rsidP="003C07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RB/ </w:t>
            </w:r>
            <w:proofErr w:type="spellStart"/>
            <w:r>
              <w:rPr>
                <w:rFonts w:cstheme="minorHAnsi"/>
              </w:rPr>
              <w:t>Comms</w:t>
            </w:r>
            <w:proofErr w:type="spellEnd"/>
          </w:p>
        </w:tc>
        <w:tc>
          <w:tcPr>
            <w:tcW w:w="993" w:type="dxa"/>
            <w:gridSpan w:val="2"/>
          </w:tcPr>
          <w:p w:rsidR="008A4392" w:rsidRPr="00E9027D" w:rsidRDefault="00E5750C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A4392" w:rsidRPr="00E9027D" w:rsidRDefault="00E5750C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01/03/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16</w:t>
            </w:r>
          </w:p>
        </w:tc>
        <w:tc>
          <w:tcPr>
            <w:tcW w:w="1044" w:type="dxa"/>
            <w:shd w:val="clear" w:color="auto" w:fill="auto"/>
          </w:tcPr>
          <w:p w:rsidR="008A4392" w:rsidRPr="00E9027D" w:rsidRDefault="008A4392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8A4392" w:rsidRPr="00E9027D" w:rsidRDefault="008A4392" w:rsidP="00583B44">
            <w:pPr>
              <w:rPr>
                <w:rFonts w:cstheme="minorHAnsi"/>
              </w:rPr>
            </w:pPr>
          </w:p>
        </w:tc>
      </w:tr>
      <w:tr w:rsidR="00FC1BAD" w:rsidRPr="00E9027D" w:rsidTr="003827AC">
        <w:trPr>
          <w:trHeight w:val="735"/>
        </w:trPr>
        <w:tc>
          <w:tcPr>
            <w:tcW w:w="567" w:type="dxa"/>
            <w:shd w:val="clear" w:color="auto" w:fill="auto"/>
          </w:tcPr>
          <w:p w:rsidR="00FC1BAD" w:rsidRPr="00E9027D" w:rsidRDefault="00FC1BAD" w:rsidP="001C39AB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1.</w:t>
            </w:r>
            <w:r w:rsidR="001C39AB">
              <w:rPr>
                <w:rFonts w:cstheme="minorHAnsi"/>
                <w:b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B2877" w:rsidRPr="005F76F2" w:rsidRDefault="00092364" w:rsidP="002A30E3">
            <w:pPr>
              <w:rPr>
                <w:rFonts w:cstheme="minorHAnsi"/>
                <w:color w:val="FF0000"/>
              </w:rPr>
            </w:pPr>
            <w:r w:rsidRPr="00B62136">
              <w:rPr>
                <w:rFonts w:ascii="Calibri" w:hAnsi="Calibri" w:cs="Calibri"/>
              </w:rPr>
              <w:t>M</w:t>
            </w:r>
            <w:r w:rsidR="005F76F2" w:rsidRPr="00B62136">
              <w:rPr>
                <w:rFonts w:ascii="Calibri" w:hAnsi="Calibri" w:cs="Calibri"/>
              </w:rPr>
              <w:t>ake it easier for customers to report ASB by providing one dedicated 0300 number night and day.</w:t>
            </w:r>
          </w:p>
        </w:tc>
        <w:tc>
          <w:tcPr>
            <w:tcW w:w="992" w:type="dxa"/>
          </w:tcPr>
          <w:p w:rsidR="00FC1BAD" w:rsidRDefault="00747DCF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Agreed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01621" w:rsidRDefault="00601621" w:rsidP="00026B69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September 2015 will see the launch of a 0300 n</w:t>
            </w:r>
            <w:r w:rsidRPr="001C39AB">
              <w:rPr>
                <w:rFonts w:cstheme="minorHAnsi"/>
                <w:bdr w:val="single" w:sz="4" w:space="0" w:color="auto"/>
              </w:rPr>
              <w:t>u</w:t>
            </w:r>
            <w:r>
              <w:rPr>
                <w:rFonts w:cstheme="minorHAnsi"/>
              </w:rPr>
              <w:t xml:space="preserve">mber to replace the 0845 OOHS. </w:t>
            </w:r>
          </w:p>
          <w:p w:rsidR="003C7A74" w:rsidRPr="00D854BE" w:rsidRDefault="00601621" w:rsidP="001C39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Adopting a single number requires further discussions and testing to ascertain if this is achievable in the long term</w:t>
            </w:r>
          </w:p>
        </w:tc>
        <w:tc>
          <w:tcPr>
            <w:tcW w:w="850" w:type="dxa"/>
            <w:shd w:val="clear" w:color="auto" w:fill="auto"/>
          </w:tcPr>
          <w:p w:rsidR="00FC1BAD" w:rsidRPr="00E9027D" w:rsidRDefault="00747DCF" w:rsidP="00E57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C1BAD" w:rsidRDefault="00E5750C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601621" w:rsidRDefault="00601621" w:rsidP="00583B44">
            <w:pPr>
              <w:jc w:val="center"/>
              <w:rPr>
                <w:rFonts w:cstheme="minorHAnsi"/>
              </w:rPr>
            </w:pPr>
          </w:p>
          <w:p w:rsidR="00601621" w:rsidRPr="00E9027D" w:rsidRDefault="00601621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1BAD" w:rsidRDefault="00E5750C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01/09/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15</w:t>
            </w:r>
          </w:p>
          <w:p w:rsidR="00601621" w:rsidRPr="00E9027D" w:rsidRDefault="00601621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01/08/2016</w:t>
            </w:r>
          </w:p>
        </w:tc>
        <w:tc>
          <w:tcPr>
            <w:tcW w:w="1044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C1BAD" w:rsidRPr="00E9027D" w:rsidRDefault="00601621" w:rsidP="001C39A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CSM has negotiated changes to service to afford an interim solution. Further discussion around having one number are needed to progress</w:t>
            </w:r>
            <w:r w:rsidR="00E5750C">
              <w:rPr>
                <w:rFonts w:cstheme="minorHAnsi"/>
              </w:rPr>
              <w:t>.</w:t>
            </w:r>
          </w:p>
        </w:tc>
      </w:tr>
      <w:tr w:rsidR="00BB2877" w:rsidRPr="00E9027D" w:rsidTr="003827AC">
        <w:trPr>
          <w:trHeight w:val="735"/>
        </w:trPr>
        <w:tc>
          <w:tcPr>
            <w:tcW w:w="567" w:type="dxa"/>
            <w:shd w:val="clear" w:color="auto" w:fill="auto"/>
          </w:tcPr>
          <w:p w:rsidR="00BB2877" w:rsidRPr="00E9027D" w:rsidRDefault="00BB2877" w:rsidP="001C39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1C39AB">
              <w:rPr>
                <w:rFonts w:cstheme="minorHAnsi"/>
                <w:b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2A30E3" w:rsidRPr="005F76F2" w:rsidRDefault="003F06DC" w:rsidP="00A22FD1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B62136">
              <w:rPr>
                <w:rFonts w:ascii="Calibri" w:hAnsi="Calibri" w:cs="Calibri"/>
              </w:rPr>
              <w:t xml:space="preserve">The website to include relevant numbers for support, crime stoppers, police and partners to offer alternatives sources of help, see section </w:t>
            </w:r>
            <w:r w:rsidR="00A22FD1">
              <w:rPr>
                <w:rFonts w:ascii="Calibri" w:hAnsi="Calibri" w:cs="Calibri"/>
              </w:rPr>
              <w:t>8</w:t>
            </w:r>
            <w:r w:rsidRPr="00B62136">
              <w:rPr>
                <w:rFonts w:ascii="Calibri" w:hAnsi="Calibri" w:cs="Calibri"/>
              </w:rPr>
              <w:t xml:space="preserve"> of the report.</w:t>
            </w:r>
          </w:p>
        </w:tc>
        <w:tc>
          <w:tcPr>
            <w:tcW w:w="992" w:type="dxa"/>
          </w:tcPr>
          <w:p w:rsidR="00BB2877" w:rsidRDefault="00E5750C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Partially Agreed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45317" w:rsidRDefault="005D02F2" w:rsidP="00A22FD1">
            <w:pPr>
              <w:spacing w:after="2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 would always encourage customer</w:t>
            </w:r>
            <w:r w:rsidR="00A22FD1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to report to us direct, as well as other agencies.</w:t>
            </w:r>
            <w:r w:rsidR="00555F33">
              <w:rPr>
                <w:rFonts w:cstheme="minorHAnsi"/>
              </w:rPr>
              <w:t xml:space="preserve"> </w:t>
            </w:r>
            <w:r w:rsidR="00A22FD1">
              <w:rPr>
                <w:rFonts w:cstheme="minorHAnsi"/>
              </w:rPr>
              <w:t xml:space="preserve"> </w:t>
            </w:r>
            <w:r w:rsidR="00555F33">
              <w:rPr>
                <w:rFonts w:cstheme="minorHAnsi"/>
              </w:rPr>
              <w:t>The number of agencies we work with across different LAs makes this more difficult, therefore national numbers and key partners will be included from Dec</w:t>
            </w:r>
            <w:r w:rsidR="00433D09">
              <w:rPr>
                <w:rFonts w:cstheme="minorHAnsi"/>
              </w:rPr>
              <w:t>em</w:t>
            </w:r>
            <w:r w:rsidR="00555F33">
              <w:rPr>
                <w:rFonts w:cstheme="minorHAnsi"/>
              </w:rPr>
              <w:t>ber</w:t>
            </w:r>
            <w:r w:rsidR="00A22FD1">
              <w:rPr>
                <w:rFonts w:cstheme="minorHAnsi"/>
              </w:rPr>
              <w:t xml:space="preserve"> 2015</w:t>
            </w:r>
            <w:r w:rsidR="00555F33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B2877" w:rsidRDefault="005D02F2" w:rsidP="005D02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RB/</w:t>
            </w:r>
            <w:proofErr w:type="spellStart"/>
            <w:r>
              <w:rPr>
                <w:rFonts w:cstheme="minorHAnsi"/>
              </w:rPr>
              <w:t>COmms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</w:tcPr>
          <w:p w:rsidR="00BB2877" w:rsidRPr="00E9027D" w:rsidRDefault="005D02F2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B2877" w:rsidRPr="00E9027D" w:rsidRDefault="005D02F2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01/12/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BB2877" w:rsidRPr="00E9027D" w:rsidRDefault="00BB2877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BB2877" w:rsidRPr="00E9027D" w:rsidRDefault="00BB2877" w:rsidP="00583B44">
            <w:pPr>
              <w:rPr>
                <w:rFonts w:cstheme="minorHAnsi"/>
              </w:rPr>
            </w:pPr>
          </w:p>
        </w:tc>
      </w:tr>
      <w:tr w:rsidR="00FC1BAD" w:rsidRPr="00E9027D" w:rsidTr="00A22FD1">
        <w:trPr>
          <w:trHeight w:val="335"/>
        </w:trPr>
        <w:tc>
          <w:tcPr>
            <w:tcW w:w="15404" w:type="dxa"/>
            <w:gridSpan w:val="11"/>
            <w:shd w:val="clear" w:color="auto" w:fill="F2F2F2" w:themeFill="background1" w:themeFillShade="F2"/>
          </w:tcPr>
          <w:p w:rsidR="00FC1BAD" w:rsidRPr="00E9027D" w:rsidRDefault="00FC1BAD" w:rsidP="006A46F5">
            <w:pPr>
              <w:spacing w:before="60" w:after="0" w:line="240" w:lineRule="auto"/>
              <w:rPr>
                <w:rFonts w:cstheme="minorHAnsi"/>
              </w:rPr>
            </w:pPr>
            <w:r w:rsidRPr="00E9027D">
              <w:rPr>
                <w:rFonts w:cstheme="minorHAnsi"/>
                <w:b/>
              </w:rPr>
              <w:t xml:space="preserve">2. </w:t>
            </w:r>
            <w:r w:rsidR="0057171F">
              <w:rPr>
                <w:rFonts w:cstheme="minorHAnsi"/>
                <w:b/>
              </w:rPr>
              <w:t>Improving the effectiveness of Great Places in managing Community Safety</w:t>
            </w:r>
          </w:p>
        </w:tc>
      </w:tr>
      <w:tr w:rsidR="00705BD2" w:rsidRPr="00E9027D" w:rsidTr="00B04D6D">
        <w:trPr>
          <w:trHeight w:val="735"/>
        </w:trPr>
        <w:tc>
          <w:tcPr>
            <w:tcW w:w="567" w:type="dxa"/>
            <w:shd w:val="clear" w:color="auto" w:fill="auto"/>
          </w:tcPr>
          <w:p w:rsidR="00705BD2" w:rsidRPr="00E9027D" w:rsidRDefault="00705BD2" w:rsidP="00583B44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B62136" w:rsidRDefault="00B62136" w:rsidP="002540C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62136">
              <w:rPr>
                <w:rFonts w:ascii="Calibri" w:hAnsi="Calibri" w:cs="Calibri"/>
              </w:rPr>
              <w:t xml:space="preserve">Insight recommends resources to manage Community </w:t>
            </w:r>
            <w:r w:rsidR="00A22FD1">
              <w:rPr>
                <w:rFonts w:ascii="Calibri" w:hAnsi="Calibri" w:cs="Calibri"/>
              </w:rPr>
              <w:t>S</w:t>
            </w:r>
            <w:r w:rsidRPr="00B62136">
              <w:rPr>
                <w:rFonts w:ascii="Calibri" w:hAnsi="Calibri" w:cs="Calibri"/>
              </w:rPr>
              <w:t>afety are reviewed by the senior team to reduce the caseload permanently to a more manageable number</w:t>
            </w:r>
            <w:r w:rsidR="00A22FD1">
              <w:rPr>
                <w:rFonts w:ascii="Calibri" w:hAnsi="Calibri" w:cs="Calibri"/>
              </w:rPr>
              <w:t>,</w:t>
            </w:r>
            <w:r w:rsidRPr="00B62136">
              <w:rPr>
                <w:rFonts w:ascii="Calibri" w:hAnsi="Calibri" w:cs="Calibri"/>
              </w:rPr>
              <w:t xml:space="preserve"> which benchmarked higher</w:t>
            </w:r>
            <w:r w:rsidR="00A22FD1">
              <w:rPr>
                <w:rFonts w:ascii="Calibri" w:hAnsi="Calibri" w:cs="Calibri"/>
              </w:rPr>
              <w:t xml:space="preserve"> at GPHG</w:t>
            </w:r>
            <w:r w:rsidRPr="00B62136">
              <w:rPr>
                <w:rFonts w:ascii="Calibri" w:hAnsi="Calibri" w:cs="Calibri"/>
              </w:rPr>
              <w:t xml:space="preserve"> than all other </w:t>
            </w:r>
            <w:r w:rsidR="00A22FD1">
              <w:rPr>
                <w:rFonts w:ascii="Calibri" w:hAnsi="Calibri" w:cs="Calibri"/>
              </w:rPr>
              <w:t>registered providers</w:t>
            </w:r>
            <w:r w:rsidRPr="00B62136">
              <w:rPr>
                <w:rFonts w:ascii="Calibri" w:hAnsi="Calibri" w:cs="Calibri"/>
              </w:rPr>
              <w:t>.</w:t>
            </w:r>
          </w:p>
          <w:p w:rsidR="006A46F5" w:rsidRPr="00E9027D" w:rsidRDefault="006A46F5" w:rsidP="002540C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gridSpan w:val="2"/>
          </w:tcPr>
          <w:p w:rsidR="00705BD2" w:rsidRDefault="00747DCF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Strongly Agreed</w:t>
            </w:r>
          </w:p>
        </w:tc>
        <w:tc>
          <w:tcPr>
            <w:tcW w:w="4536" w:type="dxa"/>
            <w:shd w:val="clear" w:color="auto" w:fill="auto"/>
          </w:tcPr>
          <w:p w:rsidR="005D02F2" w:rsidRPr="008F314C" w:rsidRDefault="00583B44" w:rsidP="008F314C">
            <w:pPr>
              <w:rPr>
                <w:rFonts w:cstheme="minorHAnsi"/>
              </w:rPr>
            </w:pPr>
            <w:r w:rsidRPr="008F314C">
              <w:rPr>
                <w:rFonts w:cstheme="minorHAnsi"/>
              </w:rPr>
              <w:t>Review</w:t>
            </w:r>
            <w:r w:rsidR="004D1E63" w:rsidRPr="008F314C">
              <w:rPr>
                <w:rFonts w:cstheme="minorHAnsi"/>
              </w:rPr>
              <w:t xml:space="preserve"> resourcing structure </w:t>
            </w:r>
            <w:r w:rsidR="005D02F2" w:rsidRPr="008F314C">
              <w:rPr>
                <w:rFonts w:cstheme="minorHAnsi"/>
              </w:rPr>
              <w:t>and agree permanent solution.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05BD2" w:rsidRPr="00E9027D" w:rsidRDefault="00B1335E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851" w:type="dxa"/>
          </w:tcPr>
          <w:p w:rsidR="00705BD2" w:rsidRPr="00E9027D" w:rsidRDefault="005D02F2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05BD2" w:rsidRPr="00E9027D" w:rsidRDefault="00F256E2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29/09</w:t>
            </w:r>
            <w:r w:rsidR="005D02F2">
              <w:rPr>
                <w:rFonts w:cstheme="minorHAnsi"/>
              </w:rPr>
              <w:t>/</w:t>
            </w:r>
            <w:r w:rsidR="00601621">
              <w:rPr>
                <w:rFonts w:cstheme="minorHAnsi"/>
              </w:rPr>
              <w:t>20</w:t>
            </w:r>
            <w:r w:rsidR="005D02F2">
              <w:rPr>
                <w:rFonts w:cstheme="minorHAnsi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705BD2" w:rsidRPr="00E9027D" w:rsidRDefault="00705BD2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705BD2" w:rsidRPr="00E9027D" w:rsidRDefault="00F256E2" w:rsidP="00F256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FC1BAD" w:rsidRPr="00E9027D" w:rsidTr="00B04D6D">
        <w:trPr>
          <w:trHeight w:val="735"/>
        </w:trPr>
        <w:tc>
          <w:tcPr>
            <w:tcW w:w="567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lastRenderedPageBreak/>
              <w:t>2.2</w:t>
            </w:r>
          </w:p>
        </w:tc>
        <w:tc>
          <w:tcPr>
            <w:tcW w:w="3119" w:type="dxa"/>
            <w:shd w:val="clear" w:color="auto" w:fill="auto"/>
          </w:tcPr>
          <w:p w:rsidR="00674AA7" w:rsidRDefault="009C7447" w:rsidP="00026B69">
            <w:pPr>
              <w:spacing w:after="0" w:line="240" w:lineRule="auto"/>
              <w:rPr>
                <w:rFonts w:ascii="Calibri" w:hAnsi="Calibri" w:cs="Calibri"/>
              </w:rPr>
            </w:pPr>
            <w:r w:rsidRPr="009C7447">
              <w:rPr>
                <w:rFonts w:ascii="Calibri" w:hAnsi="Calibri" w:cs="Calibri"/>
              </w:rPr>
              <w:t>Insight support the need for more resources and any discussion with the CSM on how this can be achieved to</w:t>
            </w:r>
            <w:r w:rsidR="00857BEA">
              <w:rPr>
                <w:rFonts w:ascii="Calibri" w:hAnsi="Calibri" w:cs="Calibri"/>
              </w:rPr>
              <w:t xml:space="preserve"> continue the expertise built in to</w:t>
            </w:r>
            <w:r w:rsidRPr="009C7447">
              <w:rPr>
                <w:rFonts w:ascii="Calibri" w:hAnsi="Calibri" w:cs="Calibri"/>
              </w:rPr>
              <w:t xml:space="preserve"> the team</w:t>
            </w:r>
          </w:p>
          <w:p w:rsidR="00026B69" w:rsidRPr="00E9027D" w:rsidRDefault="00026B69" w:rsidP="00026B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gridSpan w:val="2"/>
          </w:tcPr>
          <w:p w:rsidR="00FC1BAD" w:rsidRDefault="004D1E63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Strongly Agree</w:t>
            </w:r>
          </w:p>
        </w:tc>
        <w:tc>
          <w:tcPr>
            <w:tcW w:w="4536" w:type="dxa"/>
            <w:shd w:val="clear" w:color="auto" w:fill="auto"/>
          </w:tcPr>
          <w:p w:rsidR="003C7A74" w:rsidRPr="00E9027D" w:rsidRDefault="00FA6F29" w:rsidP="001C39AB">
            <w:pPr>
              <w:rPr>
                <w:rFonts w:cstheme="minorHAnsi"/>
              </w:rPr>
            </w:pPr>
            <w:r>
              <w:rPr>
                <w:rFonts w:cstheme="minorHAnsi"/>
              </w:rPr>
              <w:t>Recruit</w:t>
            </w:r>
            <w:r w:rsidR="00433D09">
              <w:rPr>
                <w:rFonts w:cstheme="minorHAnsi"/>
              </w:rPr>
              <w:t xml:space="preserve"> a Community Safety </w:t>
            </w:r>
            <w:r>
              <w:rPr>
                <w:rFonts w:cstheme="minorHAnsi"/>
              </w:rPr>
              <w:t xml:space="preserve">Team </w:t>
            </w:r>
            <w:r w:rsidR="00433D09">
              <w:rPr>
                <w:rFonts w:cstheme="minorHAnsi"/>
              </w:rPr>
              <w:t>Leader post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1BAD" w:rsidRPr="00E9027D" w:rsidRDefault="004D1E63" w:rsidP="001E29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851" w:type="dxa"/>
          </w:tcPr>
          <w:p w:rsidR="00FC1BAD" w:rsidRPr="00E9027D" w:rsidRDefault="0058594F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BAD" w:rsidRPr="00E9027D" w:rsidRDefault="00FB1A21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01/09/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C1BAD" w:rsidRPr="00E9027D" w:rsidRDefault="0058594F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Agreement</w:t>
            </w:r>
            <w:r w:rsidR="00A42FFF">
              <w:rPr>
                <w:rFonts w:cstheme="minorHAnsi"/>
              </w:rPr>
              <w:t xml:space="preserve"> in place</w:t>
            </w:r>
            <w:r w:rsidR="001B517F">
              <w:rPr>
                <w:rFonts w:cstheme="minorHAnsi"/>
              </w:rPr>
              <w:t xml:space="preserve"> from directors</w:t>
            </w:r>
            <w:r w:rsidR="00A42FFF">
              <w:rPr>
                <w:rFonts w:cstheme="minorHAnsi"/>
              </w:rPr>
              <w:t>, awaiting benchmarking data from HR</w:t>
            </w:r>
            <w:r w:rsidR="001B517F">
              <w:rPr>
                <w:rFonts w:cstheme="minorHAnsi"/>
              </w:rPr>
              <w:t xml:space="preserve"> to progress</w:t>
            </w:r>
            <w:r>
              <w:rPr>
                <w:rFonts w:cstheme="minorHAnsi"/>
              </w:rPr>
              <w:t>.</w:t>
            </w:r>
          </w:p>
        </w:tc>
      </w:tr>
      <w:tr w:rsidR="00361079" w:rsidRPr="00E9027D" w:rsidTr="009577FF">
        <w:trPr>
          <w:trHeight w:val="1515"/>
        </w:trPr>
        <w:tc>
          <w:tcPr>
            <w:tcW w:w="567" w:type="dxa"/>
            <w:shd w:val="clear" w:color="auto" w:fill="auto"/>
            <w:vAlign w:val="center"/>
          </w:tcPr>
          <w:p w:rsidR="00361079" w:rsidRPr="00E9027D" w:rsidRDefault="00361079" w:rsidP="009577FF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2.</w:t>
            </w:r>
            <w:r w:rsidR="009577FF">
              <w:rPr>
                <w:rFonts w:cstheme="minorHAnsi"/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74AA7" w:rsidRDefault="00674AA7" w:rsidP="00026B69">
            <w:pPr>
              <w:spacing w:after="0" w:line="240" w:lineRule="auto"/>
              <w:rPr>
                <w:rFonts w:ascii="Calibri" w:hAnsi="Calibri" w:cs="Calibri"/>
              </w:rPr>
            </w:pPr>
            <w:r w:rsidRPr="00674AA7">
              <w:rPr>
                <w:rFonts w:ascii="Calibri" w:hAnsi="Calibri" w:cs="Calibri"/>
              </w:rPr>
              <w:t>Multi agency partnerships could be further enhanced by local managers building relationships with local police and social services.</w:t>
            </w:r>
          </w:p>
          <w:p w:rsidR="00026B69" w:rsidRPr="00E9027D" w:rsidRDefault="00026B69" w:rsidP="00026B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gridSpan w:val="2"/>
          </w:tcPr>
          <w:p w:rsidR="00361079" w:rsidRDefault="00655B05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536" w:type="dxa"/>
            <w:shd w:val="clear" w:color="auto" w:fill="auto"/>
          </w:tcPr>
          <w:p w:rsidR="003C7A74" w:rsidRPr="00E9027D" w:rsidRDefault="00E55EA8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Mapping exercise</w:t>
            </w:r>
            <w:r w:rsidR="00CD7FB3">
              <w:rPr>
                <w:rFonts w:cstheme="minorHAnsi"/>
              </w:rPr>
              <w:t xml:space="preserve"> to be</w:t>
            </w:r>
            <w:r w:rsidR="0004011D">
              <w:rPr>
                <w:rFonts w:cstheme="minorHAnsi"/>
              </w:rPr>
              <w:t xml:space="preserve"> completed </w:t>
            </w:r>
            <w:r w:rsidR="00DC48CB">
              <w:rPr>
                <w:rFonts w:cstheme="minorHAnsi"/>
              </w:rPr>
              <w:t xml:space="preserve">which will </w:t>
            </w:r>
            <w:r w:rsidR="0004011D">
              <w:rPr>
                <w:rFonts w:cstheme="minorHAnsi"/>
              </w:rPr>
              <w:t xml:space="preserve">include clear responsibilities for attending meetings.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1079" w:rsidRPr="00E9027D" w:rsidRDefault="00E55EA8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="00B1335E">
              <w:rPr>
                <w:rFonts w:cstheme="minorHAnsi"/>
              </w:rPr>
              <w:t xml:space="preserve">/ Regions/ SI </w:t>
            </w:r>
          </w:p>
        </w:tc>
        <w:tc>
          <w:tcPr>
            <w:tcW w:w="851" w:type="dxa"/>
          </w:tcPr>
          <w:p w:rsidR="00361079" w:rsidRPr="00E9027D" w:rsidRDefault="001E469F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61079" w:rsidRPr="00E9027D" w:rsidRDefault="001E469F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01/06/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16</w:t>
            </w:r>
          </w:p>
        </w:tc>
        <w:tc>
          <w:tcPr>
            <w:tcW w:w="1044" w:type="dxa"/>
            <w:shd w:val="clear" w:color="auto" w:fill="auto"/>
          </w:tcPr>
          <w:p w:rsidR="00361079" w:rsidRPr="00E9027D" w:rsidRDefault="00361079" w:rsidP="00026B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361079" w:rsidRPr="00E9027D" w:rsidRDefault="00A42FFF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Mapping exercise started in 2014 (incomplete)</w:t>
            </w:r>
            <w:r w:rsidR="001E469F">
              <w:rPr>
                <w:rFonts w:cstheme="minorHAnsi"/>
              </w:rPr>
              <w:t xml:space="preserve"> Service Improvement team.</w:t>
            </w:r>
          </w:p>
        </w:tc>
      </w:tr>
      <w:tr w:rsidR="00FC1BAD" w:rsidRPr="00E9027D" w:rsidTr="00B04D6D">
        <w:trPr>
          <w:trHeight w:val="735"/>
        </w:trPr>
        <w:tc>
          <w:tcPr>
            <w:tcW w:w="567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2.4</w:t>
            </w:r>
          </w:p>
        </w:tc>
        <w:tc>
          <w:tcPr>
            <w:tcW w:w="3119" w:type="dxa"/>
            <w:shd w:val="clear" w:color="auto" w:fill="auto"/>
          </w:tcPr>
          <w:p w:rsidR="0080147F" w:rsidRPr="00E9027D" w:rsidRDefault="0080147F" w:rsidP="00A22FD1">
            <w:pPr>
              <w:spacing w:after="0" w:line="240" w:lineRule="auto"/>
              <w:jc w:val="both"/>
              <w:rPr>
                <w:rFonts w:cstheme="minorHAnsi"/>
              </w:rPr>
            </w:pPr>
            <w:r w:rsidRPr="0080147F">
              <w:rPr>
                <w:rFonts w:ascii="Calibri" w:hAnsi="Calibri" w:cs="Calibri"/>
              </w:rPr>
              <w:t>Insight recommends multi</w:t>
            </w:r>
            <w:r w:rsidR="00BB4556">
              <w:rPr>
                <w:rFonts w:ascii="Calibri" w:hAnsi="Calibri" w:cs="Calibri"/>
              </w:rPr>
              <w:t>-</w:t>
            </w:r>
            <w:r w:rsidRPr="0080147F">
              <w:rPr>
                <w:rFonts w:ascii="Calibri" w:hAnsi="Calibri" w:cs="Calibri"/>
              </w:rPr>
              <w:t xml:space="preserve"> agency training from </w:t>
            </w:r>
            <w:r w:rsidR="00A22FD1">
              <w:rPr>
                <w:rFonts w:ascii="Calibri" w:hAnsi="Calibri" w:cs="Calibri"/>
              </w:rPr>
              <w:t xml:space="preserve">GPHG </w:t>
            </w:r>
            <w:r w:rsidRPr="0080147F">
              <w:rPr>
                <w:rFonts w:ascii="Calibri" w:hAnsi="Calibri" w:cs="Calibri"/>
              </w:rPr>
              <w:t xml:space="preserve">to dispel the myths </w:t>
            </w:r>
            <w:r w:rsidR="00A22FD1">
              <w:rPr>
                <w:rFonts w:ascii="Calibri" w:hAnsi="Calibri" w:cs="Calibri"/>
              </w:rPr>
              <w:t xml:space="preserve">of </w:t>
            </w:r>
            <w:r w:rsidRPr="0080147F">
              <w:rPr>
                <w:rFonts w:ascii="Calibri" w:hAnsi="Calibri" w:cs="Calibri"/>
              </w:rPr>
              <w:t>GP</w:t>
            </w:r>
            <w:r w:rsidR="00A22FD1">
              <w:rPr>
                <w:rFonts w:ascii="Calibri" w:hAnsi="Calibri" w:cs="Calibri"/>
              </w:rPr>
              <w:t>HG</w:t>
            </w:r>
            <w:r w:rsidRPr="0080147F">
              <w:rPr>
                <w:rFonts w:ascii="Calibri" w:hAnsi="Calibri" w:cs="Calibri"/>
              </w:rPr>
              <w:t xml:space="preserve"> responsibilities and information sharing between agencies.</w:t>
            </w:r>
          </w:p>
        </w:tc>
        <w:tc>
          <w:tcPr>
            <w:tcW w:w="1134" w:type="dxa"/>
            <w:gridSpan w:val="2"/>
          </w:tcPr>
          <w:p w:rsidR="00FC1BAD" w:rsidRDefault="00F33137" w:rsidP="00B07C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Partially </w:t>
            </w:r>
            <w:r w:rsidR="00B07C17">
              <w:rPr>
                <w:rFonts w:cstheme="minorHAnsi"/>
              </w:rPr>
              <w:t>Agreed</w:t>
            </w:r>
          </w:p>
        </w:tc>
        <w:tc>
          <w:tcPr>
            <w:tcW w:w="4536" w:type="dxa"/>
            <w:shd w:val="clear" w:color="auto" w:fill="auto"/>
          </w:tcPr>
          <w:p w:rsidR="00026B69" w:rsidRDefault="001E469F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CSM to review all ISPs and ensure they are fit for purpose. T</w:t>
            </w:r>
            <w:r w:rsidR="00F83EDC">
              <w:rPr>
                <w:rFonts w:cstheme="minorHAnsi"/>
              </w:rPr>
              <w:t>he current ISPs</w:t>
            </w:r>
            <w:r w:rsidR="00DF1601">
              <w:rPr>
                <w:rFonts w:cstheme="minorHAnsi"/>
              </w:rPr>
              <w:t xml:space="preserve"> sit outside of </w:t>
            </w:r>
            <w:r w:rsidR="00BB4556">
              <w:rPr>
                <w:rFonts w:cstheme="minorHAnsi"/>
              </w:rPr>
              <w:t xml:space="preserve">the </w:t>
            </w:r>
            <w:r w:rsidR="00DF1601">
              <w:rPr>
                <w:rFonts w:cstheme="minorHAnsi"/>
              </w:rPr>
              <w:t xml:space="preserve">CST, </w:t>
            </w:r>
            <w:r w:rsidR="00BB4556">
              <w:rPr>
                <w:rFonts w:cstheme="minorHAnsi"/>
              </w:rPr>
              <w:t>responsibility for the ISPs</w:t>
            </w:r>
            <w:r w:rsidR="00F83E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need </w:t>
            </w:r>
            <w:r w:rsidR="00BB4556">
              <w:rPr>
                <w:rFonts w:cstheme="minorHAnsi"/>
              </w:rPr>
              <w:t xml:space="preserve">to be </w:t>
            </w:r>
            <w:r>
              <w:rPr>
                <w:rFonts w:cstheme="minorHAnsi"/>
              </w:rPr>
              <w:t>br</w:t>
            </w:r>
            <w:r w:rsidR="00BB4556">
              <w:rPr>
                <w:rFonts w:cstheme="minorHAnsi"/>
              </w:rPr>
              <w:t>ought</w:t>
            </w:r>
            <w:r>
              <w:rPr>
                <w:rFonts w:cstheme="minorHAnsi"/>
              </w:rPr>
              <w:t xml:space="preserve"> into </w:t>
            </w:r>
            <w:r w:rsidR="00BB4556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CST. </w:t>
            </w:r>
            <w:r w:rsidR="00F83EDC">
              <w:rPr>
                <w:rFonts w:cstheme="minorHAnsi"/>
              </w:rPr>
              <w:t>During this process training opportunities and closer multi</w:t>
            </w:r>
            <w:r w:rsidR="00BB4556">
              <w:rPr>
                <w:rFonts w:cstheme="minorHAnsi"/>
              </w:rPr>
              <w:t>-</w:t>
            </w:r>
            <w:r w:rsidR="00F83EDC">
              <w:rPr>
                <w:rFonts w:cstheme="minorHAnsi"/>
              </w:rPr>
              <w:t>agency working</w:t>
            </w:r>
            <w:r w:rsidR="00BB4556">
              <w:rPr>
                <w:rFonts w:cstheme="minorHAnsi"/>
              </w:rPr>
              <w:t xml:space="preserve"> </w:t>
            </w:r>
            <w:r w:rsidR="00F83EDC">
              <w:rPr>
                <w:rFonts w:cstheme="minorHAnsi"/>
              </w:rPr>
              <w:t>/</w:t>
            </w:r>
            <w:r w:rsidR="00BB4556">
              <w:rPr>
                <w:rFonts w:cstheme="minorHAnsi"/>
              </w:rPr>
              <w:t xml:space="preserve"> </w:t>
            </w:r>
            <w:r w:rsidR="00F83EDC">
              <w:rPr>
                <w:rFonts w:cstheme="minorHAnsi"/>
              </w:rPr>
              <w:t>develop</w:t>
            </w:r>
            <w:r w:rsidR="00BB4556">
              <w:rPr>
                <w:rFonts w:cstheme="minorHAnsi"/>
              </w:rPr>
              <w:t xml:space="preserve">ment </w:t>
            </w:r>
            <w:r w:rsidR="00F83EDC">
              <w:rPr>
                <w:rFonts w:cstheme="minorHAnsi"/>
              </w:rPr>
              <w:t>can be considered as required.</w:t>
            </w:r>
            <w:r w:rsidR="008162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It is impossible to put a timeframe on external agencies take up of potential training offers.</w:t>
            </w:r>
            <w:r w:rsidR="00BB45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ISPs to be reviewed within 12months.</w:t>
            </w:r>
          </w:p>
          <w:p w:rsidR="00026B69" w:rsidRPr="00E9027D" w:rsidRDefault="00026B69" w:rsidP="00026B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C1BAD" w:rsidRPr="00E9027D" w:rsidRDefault="00DF1601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851" w:type="dxa"/>
          </w:tcPr>
          <w:p w:rsidR="00FC1BAD" w:rsidRPr="00E9027D" w:rsidRDefault="00394B10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1BAD" w:rsidRPr="00E9027D" w:rsidRDefault="00394B10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01/07/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16</w:t>
            </w:r>
          </w:p>
        </w:tc>
        <w:tc>
          <w:tcPr>
            <w:tcW w:w="1044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C1BAD" w:rsidRPr="00E9027D" w:rsidRDefault="00FC1BAD" w:rsidP="00583B44">
            <w:pPr>
              <w:rPr>
                <w:rFonts w:cstheme="minorHAnsi"/>
              </w:rPr>
            </w:pPr>
          </w:p>
        </w:tc>
      </w:tr>
      <w:tr w:rsidR="00FC1BAD" w:rsidRPr="00E9027D" w:rsidTr="00B04D6D">
        <w:trPr>
          <w:trHeight w:val="735"/>
        </w:trPr>
        <w:tc>
          <w:tcPr>
            <w:tcW w:w="567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2.5</w:t>
            </w:r>
          </w:p>
        </w:tc>
        <w:tc>
          <w:tcPr>
            <w:tcW w:w="3119" w:type="dxa"/>
            <w:shd w:val="clear" w:color="auto" w:fill="auto"/>
          </w:tcPr>
          <w:p w:rsidR="0042206F" w:rsidRDefault="0042206F" w:rsidP="00026B6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2206F">
              <w:rPr>
                <w:rFonts w:ascii="Calibri" w:hAnsi="Calibri" w:cs="Calibri"/>
              </w:rPr>
              <w:t>Insight suggests access to IT for the teams to enable electronic performance management and monitoring of</w:t>
            </w:r>
            <w:r w:rsidR="00BE6F91">
              <w:rPr>
                <w:rFonts w:ascii="Calibri" w:hAnsi="Calibri" w:cs="Calibri"/>
              </w:rPr>
              <w:t xml:space="preserve"> all category</w:t>
            </w:r>
            <w:r w:rsidRPr="0042206F">
              <w:rPr>
                <w:rFonts w:ascii="Calibri" w:hAnsi="Calibri" w:cs="Calibri"/>
              </w:rPr>
              <w:t xml:space="preserve"> cases in Community </w:t>
            </w:r>
            <w:r w:rsidR="003D217D">
              <w:rPr>
                <w:rFonts w:ascii="Calibri" w:hAnsi="Calibri" w:cs="Calibri"/>
              </w:rPr>
              <w:t>S</w:t>
            </w:r>
            <w:r w:rsidRPr="0042206F">
              <w:rPr>
                <w:rFonts w:ascii="Calibri" w:hAnsi="Calibri" w:cs="Calibri"/>
              </w:rPr>
              <w:t>afety and Neighbourhood teams.</w:t>
            </w:r>
          </w:p>
          <w:p w:rsidR="00026B69" w:rsidRDefault="00026B69" w:rsidP="00026B6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026B69" w:rsidRPr="00E9027D" w:rsidRDefault="00026B69" w:rsidP="00026B6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gridSpan w:val="2"/>
          </w:tcPr>
          <w:p w:rsidR="00FC1BAD" w:rsidRDefault="00DF1601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  <w:r w:rsidR="00CB2AB5">
              <w:rPr>
                <w:rFonts w:cstheme="minorHAnsi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FC1BAD" w:rsidRPr="00E9027D" w:rsidRDefault="00DF1601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Intec Project to</w:t>
            </w:r>
            <w:r w:rsidR="00102A83">
              <w:rPr>
                <w:rFonts w:cstheme="minorHAnsi"/>
              </w:rPr>
              <w:t xml:space="preserve"> be</w:t>
            </w:r>
            <w:r>
              <w:rPr>
                <w:rFonts w:cstheme="minorHAnsi"/>
              </w:rPr>
              <w:t xml:space="preserve"> progress</w:t>
            </w:r>
            <w:r w:rsidR="00102A83">
              <w:rPr>
                <w:rFonts w:cstheme="minorHAnsi"/>
              </w:rPr>
              <w:t xml:space="preserve">ed. </w:t>
            </w:r>
            <w:r w:rsidR="00BE6F91">
              <w:rPr>
                <w:rFonts w:cstheme="minorHAnsi"/>
              </w:rPr>
              <w:t xml:space="preserve"> </w:t>
            </w:r>
            <w:r w:rsidR="00102A83">
              <w:rPr>
                <w:rFonts w:cstheme="minorHAnsi"/>
              </w:rPr>
              <w:t>New system to be designed and rolled out.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1BAD" w:rsidRPr="00E9027D" w:rsidRDefault="00DF1601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RB/ BS</w:t>
            </w:r>
          </w:p>
        </w:tc>
        <w:tc>
          <w:tcPr>
            <w:tcW w:w="851" w:type="dxa"/>
          </w:tcPr>
          <w:p w:rsidR="00FC1BAD" w:rsidRPr="00E9027D" w:rsidRDefault="000B5413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BAD" w:rsidRPr="00E9027D" w:rsidRDefault="000B5413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01/04/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16</w:t>
            </w:r>
          </w:p>
        </w:tc>
        <w:tc>
          <w:tcPr>
            <w:tcW w:w="1044" w:type="dxa"/>
            <w:shd w:val="clear" w:color="auto" w:fill="auto"/>
          </w:tcPr>
          <w:p w:rsidR="00FC1BAD" w:rsidRPr="00E9027D" w:rsidRDefault="00FC1BAD" w:rsidP="00026B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C1BAD" w:rsidRPr="00E9027D" w:rsidRDefault="00CB2AB5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Igloo-BS meeting taken place to assess capacity to move forward, awaiting feed back from BS</w:t>
            </w:r>
          </w:p>
        </w:tc>
      </w:tr>
      <w:tr w:rsidR="00FC1BAD" w:rsidRPr="00E9027D" w:rsidTr="00B04D6D">
        <w:trPr>
          <w:trHeight w:val="735"/>
        </w:trPr>
        <w:tc>
          <w:tcPr>
            <w:tcW w:w="567" w:type="dxa"/>
            <w:vMerge w:val="restart"/>
            <w:shd w:val="clear" w:color="auto" w:fill="auto"/>
          </w:tcPr>
          <w:p w:rsidR="00C45317" w:rsidRPr="00E9027D" w:rsidRDefault="00C45317" w:rsidP="001C39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  <w:r w:rsidR="00FC1BAD" w:rsidRPr="00E9027D">
              <w:rPr>
                <w:rFonts w:cstheme="minorHAnsi"/>
                <w:b/>
              </w:rPr>
              <w:t>.6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2206F" w:rsidRPr="004E3F7E" w:rsidRDefault="0042206F" w:rsidP="00BE6F91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E3F7E">
              <w:rPr>
                <w:rFonts w:ascii="Calibri" w:hAnsi="Calibri" w:cs="Calibri"/>
              </w:rPr>
              <w:t>Insight suggests training for Neighbourhood teams by the Community Safety Manager to encourage</w:t>
            </w:r>
            <w:r w:rsidR="00BE6F91">
              <w:rPr>
                <w:rFonts w:ascii="Calibri" w:hAnsi="Calibri" w:cs="Calibri"/>
              </w:rPr>
              <w:t xml:space="preserve"> a more </w:t>
            </w:r>
            <w:r w:rsidRPr="004E3F7E">
              <w:rPr>
                <w:rFonts w:ascii="Calibri" w:hAnsi="Calibri" w:cs="Calibri"/>
              </w:rPr>
              <w:t>common understanding of each</w:t>
            </w:r>
            <w:r w:rsidR="00BE6F91">
              <w:rPr>
                <w:rFonts w:ascii="Calibri" w:hAnsi="Calibri" w:cs="Calibri"/>
              </w:rPr>
              <w:t xml:space="preserve"> </w:t>
            </w:r>
            <w:r w:rsidRPr="004E3F7E">
              <w:rPr>
                <w:rFonts w:ascii="Calibri" w:hAnsi="Calibri" w:cs="Calibri"/>
              </w:rPr>
              <w:t>others activities in neighbourhoods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FC1BAD" w:rsidRDefault="001F12A0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Partially </w:t>
            </w:r>
            <w:r w:rsidR="00CB2AB5">
              <w:rPr>
                <w:rFonts w:cstheme="minorHAnsi"/>
              </w:rPr>
              <w:t>Agreed</w:t>
            </w:r>
          </w:p>
          <w:p w:rsidR="009F32B5" w:rsidRDefault="009F32B5" w:rsidP="00026B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C45317" w:rsidRDefault="00F03081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Training for the following teams has been agreed:</w:t>
            </w:r>
          </w:p>
          <w:p w:rsidR="00F03081" w:rsidRPr="00C45317" w:rsidRDefault="00F03081" w:rsidP="00026B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C45317">
              <w:rPr>
                <w:rFonts w:cstheme="minorHAnsi"/>
              </w:rPr>
              <w:t>CAT</w:t>
            </w:r>
          </w:p>
          <w:p w:rsidR="00F03081" w:rsidRDefault="00F03081" w:rsidP="00026B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Repairs </w:t>
            </w:r>
            <w:r w:rsidR="006E72CB">
              <w:rPr>
                <w:rFonts w:cstheme="minorHAnsi"/>
              </w:rPr>
              <w:t>team</w:t>
            </w:r>
          </w:p>
          <w:p w:rsidR="00FC1BAD" w:rsidRDefault="00F03081" w:rsidP="00BE6F91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Regional teams</w:t>
            </w:r>
            <w:r w:rsidR="00721A21" w:rsidRPr="00F03081">
              <w:rPr>
                <w:rFonts w:cstheme="minorHAnsi"/>
              </w:rPr>
              <w:t xml:space="preserve"> </w:t>
            </w:r>
          </w:p>
          <w:p w:rsidR="009F32B5" w:rsidRPr="009F32B5" w:rsidRDefault="009F32B5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recommendation that the CSM personally provides all training is not agreed, the intention is to have Community Safety Staff deliver the training with the CSM</w:t>
            </w:r>
            <w:r w:rsidR="00862A08">
              <w:rPr>
                <w:rFonts w:cstheme="minorHAnsi"/>
              </w:rPr>
              <w:t xml:space="preserve">/ Team Leader </w:t>
            </w:r>
            <w:r>
              <w:rPr>
                <w:rFonts w:cstheme="minorHAnsi"/>
              </w:rPr>
              <w:t>supporting as necessary.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</w:tcPr>
          <w:p w:rsidR="00FC1BAD" w:rsidRPr="00E9027D" w:rsidRDefault="00715519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RB/CST</w:t>
            </w:r>
          </w:p>
        </w:tc>
        <w:tc>
          <w:tcPr>
            <w:tcW w:w="851" w:type="dxa"/>
            <w:tcBorders>
              <w:bottom w:val="nil"/>
            </w:tcBorders>
          </w:tcPr>
          <w:p w:rsidR="00FC1BAD" w:rsidRPr="00E9027D" w:rsidRDefault="00F03081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FC1BAD" w:rsidRPr="00E9027D" w:rsidRDefault="00F03081" w:rsidP="00026B6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01/06/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16</w:t>
            </w:r>
          </w:p>
        </w:tc>
        <w:tc>
          <w:tcPr>
            <w:tcW w:w="1044" w:type="dxa"/>
            <w:tcBorders>
              <w:bottom w:val="nil"/>
            </w:tcBorders>
            <w:shd w:val="clear" w:color="auto" w:fill="auto"/>
          </w:tcPr>
          <w:p w:rsidR="00FC1BAD" w:rsidRPr="00E9027D" w:rsidRDefault="00FC1BAD" w:rsidP="00026B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</w:tcPr>
          <w:p w:rsidR="00B04D6D" w:rsidRDefault="00715519" w:rsidP="00026B6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715519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DV training s</w:t>
            </w:r>
            <w:r w:rsidR="00927BFE">
              <w:rPr>
                <w:rFonts w:cstheme="minorHAnsi"/>
              </w:rPr>
              <w:t>ession with CAT has taken place, further sessio</w:t>
            </w:r>
            <w:r w:rsidR="00C45317">
              <w:rPr>
                <w:rFonts w:cstheme="minorHAnsi"/>
              </w:rPr>
              <w:t>n</w:t>
            </w:r>
            <w:r w:rsidR="00927BFE">
              <w:rPr>
                <w:rFonts w:cstheme="minorHAnsi"/>
              </w:rPr>
              <w:t xml:space="preserve"> booked in with RAM.</w:t>
            </w:r>
            <w:r w:rsidR="00F03081">
              <w:rPr>
                <w:rFonts w:cstheme="minorHAnsi"/>
              </w:rPr>
              <w:t xml:space="preserve"> </w:t>
            </w:r>
          </w:p>
          <w:p w:rsidR="00B04D6D" w:rsidRDefault="00B04D6D" w:rsidP="00026B69">
            <w:pPr>
              <w:spacing w:after="0" w:line="240" w:lineRule="auto"/>
              <w:rPr>
                <w:rFonts w:cstheme="minorHAnsi"/>
              </w:rPr>
            </w:pPr>
          </w:p>
          <w:p w:rsidR="00C45317" w:rsidRPr="00E9027D" w:rsidRDefault="00F03081" w:rsidP="001928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CSM has put together </w:t>
            </w:r>
            <w:r w:rsidR="001928A0">
              <w:rPr>
                <w:rFonts w:cstheme="minorHAnsi"/>
              </w:rPr>
              <w:t>c</w:t>
            </w:r>
            <w:r>
              <w:rPr>
                <w:rFonts w:cstheme="minorHAnsi"/>
              </w:rPr>
              <w:t>ore legal training for Region</w:t>
            </w:r>
            <w:r w:rsidR="001928A0">
              <w:rPr>
                <w:rFonts w:cstheme="minorHAnsi"/>
              </w:rPr>
              <w:t>al Teams</w:t>
            </w:r>
            <w:r>
              <w:rPr>
                <w:rFonts w:cstheme="minorHAnsi"/>
              </w:rPr>
              <w:t xml:space="preserve"> which is currently being rolled out, once this is complete, more specific training to be rolled out by </w:t>
            </w:r>
            <w:r w:rsidR="001928A0">
              <w:rPr>
                <w:rFonts w:cstheme="minorHAnsi"/>
              </w:rPr>
              <w:t>the CST</w:t>
            </w:r>
          </w:p>
        </w:tc>
      </w:tr>
      <w:tr w:rsidR="00FC1BAD" w:rsidRPr="00E9027D" w:rsidTr="00B04D6D">
        <w:trPr>
          <w:trHeight w:val="77"/>
        </w:trPr>
        <w:tc>
          <w:tcPr>
            <w:tcW w:w="567" w:type="dxa"/>
            <w:vMerge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BAD" w:rsidRPr="00E9027D" w:rsidRDefault="00FC1BAD" w:rsidP="00583B44">
            <w:pPr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FC1BAD" w:rsidRDefault="00FC1BAD" w:rsidP="00583B44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FC1BAD" w:rsidRDefault="00FC1BAD" w:rsidP="00361079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  <w:tcBorders>
              <w:top w:val="nil"/>
            </w:tcBorders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tcBorders>
              <w:top w:val="nil"/>
            </w:tcBorders>
            <w:shd w:val="clear" w:color="auto" w:fill="auto"/>
          </w:tcPr>
          <w:p w:rsidR="00FC1BAD" w:rsidRPr="00E9027D" w:rsidRDefault="00FC1BAD" w:rsidP="00583B44">
            <w:pPr>
              <w:rPr>
                <w:rFonts w:cstheme="minorHAnsi"/>
              </w:rPr>
            </w:pPr>
          </w:p>
        </w:tc>
      </w:tr>
      <w:tr w:rsidR="00ED15FC" w:rsidRPr="00E9027D" w:rsidTr="00B04D6D">
        <w:trPr>
          <w:trHeight w:val="735"/>
        </w:trPr>
        <w:tc>
          <w:tcPr>
            <w:tcW w:w="567" w:type="dxa"/>
            <w:shd w:val="clear" w:color="auto" w:fill="auto"/>
          </w:tcPr>
          <w:p w:rsidR="00ED15FC" w:rsidRPr="00E9027D" w:rsidRDefault="00721A21" w:rsidP="00761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2.7</w:t>
            </w:r>
          </w:p>
        </w:tc>
        <w:tc>
          <w:tcPr>
            <w:tcW w:w="3119" w:type="dxa"/>
            <w:shd w:val="clear" w:color="auto" w:fill="auto"/>
          </w:tcPr>
          <w:p w:rsidR="005A3B72" w:rsidRDefault="005A3B72" w:rsidP="002540C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3F7E">
              <w:rPr>
                <w:rFonts w:ascii="Calibri" w:hAnsi="Calibri" w:cs="Calibri"/>
              </w:rPr>
              <w:t>Great Places to consider whether there is a role for Resident Groups with training to support local officers with low level nuisance through evidence gathering, support for the complainant and witnesses.</w:t>
            </w:r>
          </w:p>
          <w:p w:rsidR="00330DD6" w:rsidRDefault="00330DD6" w:rsidP="002540C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30DD6" w:rsidRPr="00E9027D" w:rsidRDefault="00330DD6" w:rsidP="002540C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gridSpan w:val="2"/>
          </w:tcPr>
          <w:p w:rsidR="00ED15FC" w:rsidRDefault="00F03081" w:rsidP="00761099">
            <w:pPr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4536" w:type="dxa"/>
            <w:shd w:val="clear" w:color="auto" w:fill="auto"/>
          </w:tcPr>
          <w:p w:rsidR="00ED15FC" w:rsidRPr="00E9027D" w:rsidRDefault="00ED15FC" w:rsidP="001928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Resident Groups to work with Regions on prevention, </w:t>
            </w:r>
            <w:r w:rsidR="003975BB" w:rsidRPr="00F03081">
              <w:rPr>
                <w:rFonts w:cstheme="minorHAnsi"/>
                <w:b/>
                <w:u w:val="single"/>
              </w:rPr>
              <w:t xml:space="preserve">not </w:t>
            </w:r>
            <w:r w:rsidR="009D49AA">
              <w:rPr>
                <w:rFonts w:cstheme="minorHAnsi"/>
              </w:rPr>
              <w:t xml:space="preserve">appropriate </w:t>
            </w:r>
            <w:r w:rsidR="003975BB">
              <w:rPr>
                <w:rFonts w:cstheme="minorHAnsi"/>
              </w:rPr>
              <w:t>to be part of investigations</w:t>
            </w:r>
            <w:r w:rsidR="001928A0">
              <w:rPr>
                <w:rFonts w:cstheme="minorHAnsi"/>
              </w:rPr>
              <w:t xml:space="preserve"> or with</w:t>
            </w:r>
            <w:r w:rsidR="003975BB">
              <w:rPr>
                <w:rFonts w:cstheme="minorHAnsi"/>
              </w:rPr>
              <w:t xml:space="preserve"> </w:t>
            </w:r>
            <w:r w:rsidR="009D49AA">
              <w:rPr>
                <w:rFonts w:cstheme="minorHAnsi"/>
              </w:rPr>
              <w:t xml:space="preserve">Case Management </w:t>
            </w:r>
            <w:r w:rsidR="003975BB">
              <w:rPr>
                <w:rFonts w:cstheme="minorHAnsi"/>
              </w:rPr>
              <w:t>interventions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D15FC" w:rsidRPr="00E9027D" w:rsidRDefault="00F03081" w:rsidP="00761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Regions</w:t>
            </w:r>
          </w:p>
        </w:tc>
        <w:tc>
          <w:tcPr>
            <w:tcW w:w="851" w:type="dxa"/>
          </w:tcPr>
          <w:p w:rsidR="00ED15FC" w:rsidRPr="00E9027D" w:rsidRDefault="00F03081" w:rsidP="00761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D15FC" w:rsidRPr="00E9027D" w:rsidRDefault="00F03081" w:rsidP="00761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ED15FC" w:rsidRPr="00E9027D" w:rsidRDefault="00ED15FC" w:rsidP="00761099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ED15FC" w:rsidRPr="00E9027D" w:rsidRDefault="00ED15FC" w:rsidP="00761099">
            <w:pPr>
              <w:rPr>
                <w:rFonts w:cstheme="minorHAnsi"/>
              </w:rPr>
            </w:pPr>
          </w:p>
        </w:tc>
      </w:tr>
      <w:tr w:rsidR="00ED15FC" w:rsidRPr="00E9027D" w:rsidTr="00B04D6D">
        <w:trPr>
          <w:trHeight w:val="735"/>
        </w:trPr>
        <w:tc>
          <w:tcPr>
            <w:tcW w:w="567" w:type="dxa"/>
            <w:shd w:val="clear" w:color="auto" w:fill="auto"/>
          </w:tcPr>
          <w:p w:rsidR="00ED15FC" w:rsidRPr="00E9027D" w:rsidRDefault="00721A21" w:rsidP="00761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2.8</w:t>
            </w:r>
          </w:p>
        </w:tc>
        <w:tc>
          <w:tcPr>
            <w:tcW w:w="3119" w:type="dxa"/>
            <w:shd w:val="clear" w:color="auto" w:fill="auto"/>
          </w:tcPr>
          <w:p w:rsidR="005A3B72" w:rsidRDefault="005A3B72" w:rsidP="002540C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C39AB">
              <w:rPr>
                <w:rFonts w:ascii="Calibri" w:hAnsi="Calibri" w:cs="Calibri"/>
              </w:rPr>
              <w:t xml:space="preserve">Great Places to ensure information relating to Community Safety </w:t>
            </w:r>
            <w:r w:rsidR="001812B2">
              <w:rPr>
                <w:rFonts w:ascii="Calibri" w:hAnsi="Calibri" w:cs="Calibri"/>
              </w:rPr>
              <w:t>T</w:t>
            </w:r>
            <w:r w:rsidRPr="001C39AB">
              <w:rPr>
                <w:rFonts w:ascii="Calibri" w:hAnsi="Calibri" w:cs="Calibri"/>
              </w:rPr>
              <w:t>eam is clearly explained during sign-up of new customers especially around low level nuisance.</w:t>
            </w:r>
          </w:p>
          <w:p w:rsidR="00330DD6" w:rsidRDefault="00330DD6" w:rsidP="002540C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30DD6" w:rsidRPr="001C39AB" w:rsidRDefault="00330DD6" w:rsidP="002540C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</w:tcPr>
          <w:p w:rsidR="00ED15FC" w:rsidRDefault="00ED15FC" w:rsidP="00761099">
            <w:pPr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  <w:r w:rsidR="006E2873">
              <w:rPr>
                <w:rFonts w:cstheme="minorHAnsi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247464" w:rsidRPr="00E9027D" w:rsidRDefault="00247464" w:rsidP="007610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role of Community Safety will be explained as part of the sign-up process, including the responsibilities placed upon customers around ASB.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D15FC" w:rsidRPr="00E9027D" w:rsidRDefault="00ED15FC" w:rsidP="00C93A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="00CC6520">
              <w:rPr>
                <w:rFonts w:cstheme="minorHAnsi"/>
              </w:rPr>
              <w:t>/</w:t>
            </w:r>
            <w:r w:rsidR="00C93A47">
              <w:rPr>
                <w:rFonts w:cstheme="minorHAnsi"/>
              </w:rPr>
              <w:t xml:space="preserve">Jenny Perkins </w:t>
            </w:r>
          </w:p>
        </w:tc>
        <w:tc>
          <w:tcPr>
            <w:tcW w:w="851" w:type="dxa"/>
          </w:tcPr>
          <w:p w:rsidR="00ED15FC" w:rsidRPr="00E9027D" w:rsidRDefault="00F03081" w:rsidP="00761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D15FC" w:rsidRPr="00E9027D" w:rsidRDefault="00F03081" w:rsidP="00761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01/08/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ED15FC" w:rsidRPr="00E9027D" w:rsidRDefault="00ED15FC" w:rsidP="00761099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ED15FC" w:rsidRPr="00E9027D" w:rsidRDefault="00ED15FC" w:rsidP="00761099">
            <w:pPr>
              <w:rPr>
                <w:rFonts w:cstheme="minorHAnsi"/>
              </w:rPr>
            </w:pPr>
          </w:p>
        </w:tc>
      </w:tr>
    </w:tbl>
    <w:p w:rsidR="00330DD6" w:rsidRDefault="00330DD6"/>
    <w:tbl>
      <w:tblPr>
        <w:tblW w:w="15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4536"/>
        <w:gridCol w:w="850"/>
        <w:gridCol w:w="993"/>
        <w:gridCol w:w="850"/>
        <w:gridCol w:w="1044"/>
        <w:gridCol w:w="2311"/>
      </w:tblGrid>
      <w:tr w:rsidR="00FC1BAD" w:rsidRPr="00E9027D" w:rsidTr="003827AC">
        <w:trPr>
          <w:trHeight w:val="385"/>
        </w:trPr>
        <w:tc>
          <w:tcPr>
            <w:tcW w:w="15404" w:type="dxa"/>
            <w:gridSpan w:val="9"/>
          </w:tcPr>
          <w:p w:rsidR="00FC1BAD" w:rsidRPr="00E9027D" w:rsidRDefault="00FC1BAD" w:rsidP="00655F45">
            <w:pPr>
              <w:spacing w:before="60" w:after="0" w:line="240" w:lineRule="auto"/>
              <w:rPr>
                <w:rFonts w:cstheme="minorHAnsi"/>
              </w:rPr>
            </w:pPr>
            <w:r w:rsidRPr="00E9027D">
              <w:rPr>
                <w:rFonts w:cstheme="minorHAnsi"/>
                <w:b/>
              </w:rPr>
              <w:lastRenderedPageBreak/>
              <w:t xml:space="preserve">3. </w:t>
            </w:r>
            <w:r w:rsidR="0057171F">
              <w:rPr>
                <w:rFonts w:cstheme="minorHAnsi"/>
                <w:b/>
              </w:rPr>
              <w:t>Improving efficiencies through systems and processes</w:t>
            </w:r>
            <w:r w:rsidRPr="00E9027D">
              <w:rPr>
                <w:rFonts w:cstheme="minorHAnsi"/>
                <w:b/>
              </w:rPr>
              <w:t xml:space="preserve">  </w:t>
            </w:r>
            <w:r w:rsidRPr="00E9027D">
              <w:rPr>
                <w:rFonts w:cstheme="minorHAnsi"/>
                <w:b/>
                <w:highlight w:val="yellow"/>
              </w:rPr>
              <w:t xml:space="preserve"> </w:t>
            </w:r>
          </w:p>
        </w:tc>
      </w:tr>
      <w:tr w:rsidR="00330DD6" w:rsidRPr="00E9027D" w:rsidTr="001812B2">
        <w:trPr>
          <w:trHeight w:val="1480"/>
        </w:trPr>
        <w:tc>
          <w:tcPr>
            <w:tcW w:w="567" w:type="dxa"/>
            <w:shd w:val="clear" w:color="auto" w:fill="auto"/>
          </w:tcPr>
          <w:p w:rsidR="00330DD6" w:rsidRPr="00E9027D" w:rsidRDefault="00330DD6" w:rsidP="00583B44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330DD6" w:rsidRPr="00E9027D" w:rsidRDefault="00330DD6" w:rsidP="001812B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B43BE">
              <w:rPr>
                <w:rFonts w:cstheme="minorHAnsi"/>
              </w:rPr>
              <w:t>rain the Customer Access Team (CAT) who</w:t>
            </w:r>
            <w:r w:rsidR="001812B2">
              <w:rPr>
                <w:rFonts w:cstheme="minorHAnsi"/>
              </w:rPr>
              <w:t>’s</w:t>
            </w:r>
            <w:r w:rsidRPr="000B43BE">
              <w:rPr>
                <w:rFonts w:cstheme="minorHAnsi"/>
              </w:rPr>
              <w:t xml:space="preserve"> willing to do more to support customers on Community Safety as the first point of contact.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0DD6" w:rsidRDefault="00330DD6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4536" w:type="dxa"/>
            <w:shd w:val="clear" w:color="auto" w:fill="auto"/>
          </w:tcPr>
          <w:p w:rsidR="00330DD6" w:rsidRPr="00E9027D" w:rsidRDefault="00330DD6" w:rsidP="001812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 broader assessment of Group direction is needed to consider how the relationship between CAT and CST can be developed further. </w:t>
            </w:r>
            <w:r w:rsidR="001812B2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This will be achieved by December 2015.</w:t>
            </w:r>
          </w:p>
        </w:tc>
        <w:tc>
          <w:tcPr>
            <w:tcW w:w="850" w:type="dxa"/>
            <w:shd w:val="clear" w:color="auto" w:fill="auto"/>
          </w:tcPr>
          <w:p w:rsidR="00330DD6" w:rsidRPr="00E9027D" w:rsidRDefault="00330DD6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993" w:type="dxa"/>
          </w:tcPr>
          <w:p w:rsidR="00330DD6" w:rsidRPr="00E9027D" w:rsidRDefault="00330DD6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30DD6" w:rsidRPr="00E9027D" w:rsidRDefault="00330DD6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21/12/2015</w:t>
            </w:r>
          </w:p>
        </w:tc>
        <w:tc>
          <w:tcPr>
            <w:tcW w:w="1044" w:type="dxa"/>
            <w:shd w:val="clear" w:color="auto" w:fill="auto"/>
          </w:tcPr>
          <w:p w:rsidR="00330DD6" w:rsidRPr="00E9027D" w:rsidRDefault="00330DD6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330DD6" w:rsidRPr="00E9027D" w:rsidRDefault="00330DD6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Initial meeting scheduled for July 2015.</w:t>
            </w:r>
          </w:p>
        </w:tc>
      </w:tr>
      <w:tr w:rsidR="000B43BE" w:rsidRPr="00E9027D" w:rsidTr="001812B2">
        <w:trPr>
          <w:trHeight w:val="735"/>
        </w:trPr>
        <w:tc>
          <w:tcPr>
            <w:tcW w:w="567" w:type="dxa"/>
            <w:shd w:val="clear" w:color="auto" w:fill="auto"/>
          </w:tcPr>
          <w:p w:rsidR="000B43BE" w:rsidRPr="00E9027D" w:rsidRDefault="000B43BE" w:rsidP="00583B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0B43BE" w:rsidRPr="0067735D" w:rsidRDefault="000B43BE" w:rsidP="000B43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43BE">
              <w:rPr>
                <w:rFonts w:ascii="Calibri" w:hAnsi="Calibri" w:cs="Calibri"/>
              </w:rPr>
              <w:t xml:space="preserve">Great Places would benefit by enabling access to case manager across </w:t>
            </w:r>
            <w:r w:rsidR="00BC53BE">
              <w:rPr>
                <w:rFonts w:ascii="Calibri" w:hAnsi="Calibri" w:cs="Calibri"/>
              </w:rPr>
              <w:t xml:space="preserve">to </w:t>
            </w:r>
            <w:r w:rsidRPr="000B43BE">
              <w:rPr>
                <w:rFonts w:ascii="Calibri" w:hAnsi="Calibri" w:cs="Calibri"/>
              </w:rPr>
              <w:t>relevant teams</w:t>
            </w:r>
            <w:r w:rsidRPr="0067735D">
              <w:rPr>
                <w:rFonts w:ascii="Arial" w:hAnsi="Arial" w:cs="Arial"/>
              </w:rPr>
              <w:t xml:space="preserve">. </w:t>
            </w:r>
          </w:p>
          <w:p w:rsidR="000B43BE" w:rsidRDefault="000B43BE" w:rsidP="00583B4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0B43BE" w:rsidRDefault="00F03081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4536" w:type="dxa"/>
            <w:shd w:val="clear" w:color="auto" w:fill="auto"/>
          </w:tcPr>
          <w:p w:rsidR="000B43BE" w:rsidRDefault="00F03081" w:rsidP="00330DD6">
            <w:pPr>
              <w:tabs>
                <w:tab w:val="left" w:pos="278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Axis is currently specified to notify viewers of basic information</w:t>
            </w:r>
            <w:r w:rsidR="003B3ED4">
              <w:rPr>
                <w:rFonts w:cstheme="minorHAnsi"/>
              </w:rPr>
              <w:t>.  H</w:t>
            </w:r>
            <w:r w:rsidR="00E838EC">
              <w:rPr>
                <w:rFonts w:cstheme="minorHAnsi"/>
              </w:rPr>
              <w:t xml:space="preserve">owever since this </w:t>
            </w:r>
            <w:r>
              <w:rPr>
                <w:rFonts w:cstheme="minorHAnsi"/>
              </w:rPr>
              <w:t xml:space="preserve">Scrutiny </w:t>
            </w:r>
            <w:r w:rsidR="00E838EC">
              <w:rPr>
                <w:rFonts w:cstheme="minorHAnsi"/>
              </w:rPr>
              <w:t>Review</w:t>
            </w:r>
            <w:r>
              <w:rPr>
                <w:rFonts w:cstheme="minorHAnsi"/>
              </w:rPr>
              <w:t>,</w:t>
            </w:r>
            <w:r w:rsidR="00E838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this </w:t>
            </w:r>
            <w:r w:rsidR="003B3ED4">
              <w:rPr>
                <w:rFonts w:cstheme="minorHAnsi"/>
              </w:rPr>
              <w:t xml:space="preserve">facility </w:t>
            </w:r>
            <w:r>
              <w:rPr>
                <w:rFonts w:cstheme="minorHAnsi"/>
              </w:rPr>
              <w:t xml:space="preserve">has been tested and </w:t>
            </w:r>
            <w:r w:rsidR="003B3ED4">
              <w:rPr>
                <w:rFonts w:cstheme="minorHAnsi"/>
              </w:rPr>
              <w:t>we are aware th</w:t>
            </w:r>
            <w:r>
              <w:rPr>
                <w:rFonts w:cstheme="minorHAnsi"/>
              </w:rPr>
              <w:t>is not working correctly</w:t>
            </w:r>
            <w:r w:rsidR="003B3ED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Igloo to pick up and fix issue.</w:t>
            </w:r>
          </w:p>
          <w:p w:rsidR="003B3ED4" w:rsidRDefault="003B3ED4" w:rsidP="00330DD6">
            <w:pPr>
              <w:tabs>
                <w:tab w:val="left" w:pos="2780"/>
              </w:tabs>
              <w:spacing w:after="0" w:line="240" w:lineRule="auto"/>
              <w:rPr>
                <w:rFonts w:cstheme="minorHAnsi"/>
              </w:rPr>
            </w:pPr>
          </w:p>
          <w:p w:rsidR="00F03081" w:rsidRDefault="00F03081" w:rsidP="00330D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New system will allow limited access </w:t>
            </w:r>
            <w:r w:rsidR="009F32B5">
              <w:rPr>
                <w:rFonts w:cstheme="minorHAnsi"/>
              </w:rPr>
              <w:t>to non HM teams.</w:t>
            </w:r>
          </w:p>
          <w:p w:rsidR="00655F45" w:rsidRDefault="00655F45" w:rsidP="00330D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B43BE" w:rsidRDefault="009F32B5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RB/Igloo</w:t>
            </w:r>
          </w:p>
        </w:tc>
        <w:tc>
          <w:tcPr>
            <w:tcW w:w="993" w:type="dxa"/>
          </w:tcPr>
          <w:p w:rsidR="000B43BE" w:rsidRPr="00E9027D" w:rsidRDefault="009F32B5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B43BE" w:rsidRPr="00E9027D" w:rsidRDefault="00A5667E" w:rsidP="00583B44">
            <w:pPr>
              <w:jc w:val="center"/>
              <w:rPr>
                <w:rFonts w:cstheme="minorHAnsi"/>
              </w:rPr>
            </w:pPr>
            <w:r w:rsidRPr="00A5667E">
              <w:rPr>
                <w:rFonts w:cstheme="minorHAnsi"/>
              </w:rPr>
              <w:t>01/09/</w:t>
            </w:r>
            <w:r w:rsidR="00601621">
              <w:rPr>
                <w:rFonts w:cstheme="minorHAnsi"/>
              </w:rPr>
              <w:t>20</w:t>
            </w:r>
            <w:r w:rsidRPr="00A5667E">
              <w:rPr>
                <w:rFonts w:cstheme="minorHAnsi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0B43BE" w:rsidRPr="00E9027D" w:rsidRDefault="000B43BE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0B43BE" w:rsidRDefault="009F32B5" w:rsidP="00F33137">
            <w:pPr>
              <w:rPr>
                <w:rFonts w:cstheme="minorHAnsi"/>
              </w:rPr>
            </w:pPr>
            <w:r>
              <w:rPr>
                <w:rFonts w:cstheme="minorHAnsi"/>
              </w:rPr>
              <w:t>Awaiting date from Igloo</w:t>
            </w:r>
          </w:p>
        </w:tc>
      </w:tr>
      <w:tr w:rsidR="00FC1BAD" w:rsidRPr="00E9027D" w:rsidTr="001812B2">
        <w:trPr>
          <w:trHeight w:val="735"/>
        </w:trPr>
        <w:tc>
          <w:tcPr>
            <w:tcW w:w="567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  <w:b/>
              </w:rPr>
            </w:pPr>
            <w:r w:rsidRPr="00E9027D">
              <w:rPr>
                <w:rFonts w:cstheme="minorHAnsi"/>
                <w:b/>
              </w:rPr>
              <w:t>3.3</w:t>
            </w:r>
          </w:p>
        </w:tc>
        <w:tc>
          <w:tcPr>
            <w:tcW w:w="3119" w:type="dxa"/>
            <w:shd w:val="clear" w:color="auto" w:fill="auto"/>
          </w:tcPr>
          <w:p w:rsidR="000B43BE" w:rsidRDefault="000B43BE" w:rsidP="006043D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B43BE">
              <w:rPr>
                <w:rFonts w:ascii="Calibri" w:hAnsi="Calibri" w:cs="Calibri"/>
              </w:rPr>
              <w:t>Insight suggests</w:t>
            </w:r>
            <w:r w:rsidR="00A151B9">
              <w:rPr>
                <w:rFonts w:ascii="Calibri" w:hAnsi="Calibri" w:cs="Calibri"/>
              </w:rPr>
              <w:t xml:space="preserve"> training for</w:t>
            </w:r>
            <w:r w:rsidR="000C4C75">
              <w:rPr>
                <w:rFonts w:ascii="Calibri" w:hAnsi="Calibri" w:cs="Calibri"/>
              </w:rPr>
              <w:t xml:space="preserve"> N</w:t>
            </w:r>
            <w:r w:rsidRPr="000B43BE">
              <w:rPr>
                <w:rFonts w:ascii="Calibri" w:hAnsi="Calibri" w:cs="Calibri"/>
              </w:rPr>
              <w:t xml:space="preserve">eighbourhood and CAT </w:t>
            </w:r>
            <w:r>
              <w:rPr>
                <w:rFonts w:ascii="Calibri" w:hAnsi="Calibri" w:cs="Calibri"/>
              </w:rPr>
              <w:t>teams</w:t>
            </w:r>
            <w:r w:rsidRPr="000B43BE">
              <w:rPr>
                <w:rFonts w:ascii="Calibri" w:hAnsi="Calibri" w:cs="Calibri"/>
              </w:rPr>
              <w:t xml:space="preserve"> </w:t>
            </w:r>
            <w:r w:rsidR="00A151B9">
              <w:rPr>
                <w:rFonts w:ascii="Calibri" w:hAnsi="Calibri" w:cs="Calibri"/>
              </w:rPr>
              <w:t xml:space="preserve">to ensure they are confident </w:t>
            </w:r>
            <w:r w:rsidRPr="000B43BE">
              <w:rPr>
                <w:rFonts w:ascii="Calibri" w:hAnsi="Calibri" w:cs="Calibri"/>
              </w:rPr>
              <w:t xml:space="preserve">what can be done to address </w:t>
            </w:r>
            <w:r w:rsidR="00DD283B">
              <w:rPr>
                <w:rFonts w:ascii="Calibri" w:hAnsi="Calibri" w:cs="Calibri"/>
              </w:rPr>
              <w:t>C</w:t>
            </w:r>
            <w:r w:rsidRPr="000B43BE">
              <w:rPr>
                <w:rFonts w:ascii="Calibri" w:hAnsi="Calibri" w:cs="Calibri"/>
              </w:rPr>
              <w:t xml:space="preserve">ommunity </w:t>
            </w:r>
            <w:r w:rsidR="00DD283B">
              <w:rPr>
                <w:rFonts w:ascii="Calibri" w:hAnsi="Calibri" w:cs="Calibri"/>
              </w:rPr>
              <w:t>S</w:t>
            </w:r>
            <w:r w:rsidRPr="000B43BE">
              <w:rPr>
                <w:rFonts w:ascii="Calibri" w:hAnsi="Calibri" w:cs="Calibri"/>
              </w:rPr>
              <w:t>afety</w:t>
            </w:r>
            <w:r w:rsidR="00A151B9">
              <w:rPr>
                <w:rFonts w:ascii="Calibri" w:hAnsi="Calibri" w:cs="Calibri"/>
              </w:rPr>
              <w:t>.  Gu</w:t>
            </w:r>
            <w:r w:rsidRPr="000B43BE">
              <w:rPr>
                <w:rFonts w:ascii="Calibri" w:hAnsi="Calibri" w:cs="Calibri"/>
              </w:rPr>
              <w:t xml:space="preserve">idance </w:t>
            </w:r>
            <w:r w:rsidR="00A151B9">
              <w:rPr>
                <w:rFonts w:ascii="Calibri" w:hAnsi="Calibri" w:cs="Calibri"/>
              </w:rPr>
              <w:t>to</w:t>
            </w:r>
            <w:r w:rsidRPr="000B43BE">
              <w:rPr>
                <w:rFonts w:ascii="Calibri" w:hAnsi="Calibri" w:cs="Calibri"/>
              </w:rPr>
              <w:t xml:space="preserve"> be developed for managing some low level category </w:t>
            </w:r>
            <w:r w:rsidR="00DD283B">
              <w:rPr>
                <w:rFonts w:ascii="Calibri" w:hAnsi="Calibri" w:cs="Calibri"/>
              </w:rPr>
              <w:t>‘c’</w:t>
            </w:r>
            <w:r w:rsidRPr="000B43BE">
              <w:rPr>
                <w:rFonts w:ascii="Calibri" w:hAnsi="Calibri" w:cs="Calibri"/>
              </w:rPr>
              <w:t xml:space="preserve"> cases. </w:t>
            </w:r>
          </w:p>
          <w:p w:rsidR="00316AD0" w:rsidRPr="00E9027D" w:rsidRDefault="00316AD0" w:rsidP="006043D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C1BAD" w:rsidRDefault="00E145A8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Agreed</w:t>
            </w:r>
          </w:p>
        </w:tc>
        <w:tc>
          <w:tcPr>
            <w:tcW w:w="4536" w:type="dxa"/>
            <w:shd w:val="clear" w:color="auto" w:fill="auto"/>
          </w:tcPr>
          <w:p w:rsidR="002579B7" w:rsidRDefault="00F33137" w:rsidP="00330DD6">
            <w:pPr>
              <w:tabs>
                <w:tab w:val="left" w:pos="2780"/>
              </w:tabs>
              <w:spacing w:after="0" w:line="240" w:lineRule="auto"/>
              <w:rPr>
                <w:rFonts w:cstheme="minorHAnsi"/>
              </w:rPr>
            </w:pPr>
            <w:r w:rsidRPr="00330DD6">
              <w:rPr>
                <w:rFonts w:cstheme="minorHAnsi"/>
              </w:rPr>
              <w:t>Training as per 2.6</w:t>
            </w:r>
          </w:p>
          <w:p w:rsidR="00330DD6" w:rsidRPr="00330DD6" w:rsidRDefault="00330DD6" w:rsidP="00330DD6">
            <w:pPr>
              <w:tabs>
                <w:tab w:val="left" w:pos="2780"/>
              </w:tabs>
              <w:spacing w:after="0" w:line="240" w:lineRule="auto"/>
              <w:rPr>
                <w:rFonts w:cstheme="minorHAnsi"/>
              </w:rPr>
            </w:pPr>
          </w:p>
          <w:p w:rsidR="00E145A8" w:rsidRPr="00330DD6" w:rsidRDefault="002579B7" w:rsidP="00330DD6">
            <w:pPr>
              <w:tabs>
                <w:tab w:val="left" w:pos="2780"/>
              </w:tabs>
              <w:spacing w:after="0" w:line="240" w:lineRule="auto"/>
              <w:rPr>
                <w:rFonts w:cstheme="minorHAnsi"/>
              </w:rPr>
            </w:pPr>
            <w:r w:rsidRPr="00330DD6">
              <w:rPr>
                <w:rFonts w:cstheme="minorHAnsi"/>
              </w:rPr>
              <w:t xml:space="preserve">Guidance </w:t>
            </w:r>
            <w:r w:rsidR="007D0770" w:rsidRPr="00330DD6">
              <w:rPr>
                <w:rFonts w:cstheme="minorHAnsi"/>
              </w:rPr>
              <w:t>on dealing with Low Level</w:t>
            </w:r>
            <w:r w:rsidR="00DD283B">
              <w:rPr>
                <w:rFonts w:cstheme="minorHAnsi"/>
              </w:rPr>
              <w:t xml:space="preserve"> </w:t>
            </w:r>
            <w:r w:rsidR="007D0770" w:rsidRPr="00330DD6">
              <w:rPr>
                <w:rFonts w:cstheme="minorHAnsi"/>
              </w:rPr>
              <w:t xml:space="preserve">/ </w:t>
            </w:r>
            <w:r w:rsidR="00DD283B">
              <w:rPr>
                <w:rFonts w:cstheme="minorHAnsi"/>
              </w:rPr>
              <w:t xml:space="preserve"> </w:t>
            </w:r>
            <w:r w:rsidR="007D0770" w:rsidRPr="00330DD6">
              <w:rPr>
                <w:rFonts w:cstheme="minorHAnsi"/>
              </w:rPr>
              <w:t xml:space="preserve">Tenancy Management issues </w:t>
            </w:r>
            <w:r w:rsidRPr="00330DD6">
              <w:rPr>
                <w:rFonts w:cstheme="minorHAnsi"/>
              </w:rPr>
              <w:t>to be rolled out by 01/09/15</w:t>
            </w:r>
            <w:r w:rsidR="00E145A8" w:rsidRPr="00330DD6">
              <w:rPr>
                <w:rFonts w:cstheme="minorHAnsi"/>
              </w:rPr>
              <w:tab/>
              <w:t xml:space="preserve"> </w:t>
            </w:r>
          </w:p>
          <w:p w:rsidR="00FC1BAD" w:rsidRPr="00E9027D" w:rsidRDefault="00FC1BAD" w:rsidP="00E145A8">
            <w:pPr>
              <w:tabs>
                <w:tab w:val="left" w:pos="2780"/>
              </w:tabs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FC1BAD" w:rsidRPr="00E9027D" w:rsidRDefault="00E145A8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="002579B7">
              <w:rPr>
                <w:rFonts w:cstheme="minorHAnsi"/>
              </w:rPr>
              <w:t>/ SIT</w:t>
            </w:r>
          </w:p>
        </w:tc>
        <w:tc>
          <w:tcPr>
            <w:tcW w:w="993" w:type="dxa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FC1BAD" w:rsidRPr="00E9027D" w:rsidRDefault="00601621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01/09/2015</w:t>
            </w:r>
          </w:p>
        </w:tc>
        <w:tc>
          <w:tcPr>
            <w:tcW w:w="1044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C1BAD" w:rsidRDefault="00F33137" w:rsidP="00F33137">
            <w:pPr>
              <w:rPr>
                <w:rFonts w:cstheme="minorHAnsi"/>
              </w:rPr>
            </w:pPr>
            <w:r>
              <w:rPr>
                <w:rFonts w:cstheme="minorHAnsi"/>
              </w:rPr>
              <w:t>(1</w:t>
            </w:r>
            <w:r w:rsidRPr="00E145A8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session has taken place)</w:t>
            </w:r>
          </w:p>
          <w:p w:rsidR="002579B7" w:rsidRPr="00E9027D" w:rsidRDefault="002579B7" w:rsidP="00F33137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Improvement team to roll out guidance once CSM has signed off.</w:t>
            </w:r>
          </w:p>
        </w:tc>
      </w:tr>
      <w:tr w:rsidR="00C72146" w:rsidRPr="00E9027D" w:rsidTr="001812B2">
        <w:trPr>
          <w:trHeight w:val="735"/>
        </w:trPr>
        <w:tc>
          <w:tcPr>
            <w:tcW w:w="567" w:type="dxa"/>
            <w:shd w:val="clear" w:color="auto" w:fill="auto"/>
          </w:tcPr>
          <w:p w:rsidR="00C72146" w:rsidRPr="00E9027D" w:rsidRDefault="00C72146" w:rsidP="00583B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3.4</w:t>
            </w:r>
          </w:p>
        </w:tc>
        <w:tc>
          <w:tcPr>
            <w:tcW w:w="3119" w:type="dxa"/>
            <w:shd w:val="clear" w:color="auto" w:fill="auto"/>
          </w:tcPr>
          <w:p w:rsidR="00316AD0" w:rsidRDefault="006043D2" w:rsidP="0027531F">
            <w:pPr>
              <w:spacing w:after="0" w:line="240" w:lineRule="auto"/>
              <w:jc w:val="both"/>
              <w:rPr>
                <w:rFonts w:cstheme="minorHAnsi"/>
              </w:rPr>
            </w:pPr>
            <w:r w:rsidRPr="006043D2">
              <w:rPr>
                <w:rFonts w:ascii="Calibri" w:hAnsi="Calibri" w:cs="Calibri"/>
              </w:rPr>
              <w:t>Insight suggests local neighbourhood staff could support the Community Safety team where the case is a distance from the base of the Community Safety service, to gather evidence on site from local people.</w:t>
            </w:r>
          </w:p>
        </w:tc>
        <w:tc>
          <w:tcPr>
            <w:tcW w:w="1134" w:type="dxa"/>
          </w:tcPr>
          <w:p w:rsidR="00C72146" w:rsidRDefault="00C72146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Agreed</w:t>
            </w:r>
          </w:p>
        </w:tc>
        <w:tc>
          <w:tcPr>
            <w:tcW w:w="4536" w:type="dxa"/>
            <w:shd w:val="clear" w:color="auto" w:fill="auto"/>
          </w:tcPr>
          <w:p w:rsidR="007052A2" w:rsidRDefault="000064A6" w:rsidP="00E961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CST will start tasking Regions</w:t>
            </w:r>
            <w:r w:rsidR="006B2200">
              <w:rPr>
                <w:rFonts w:cstheme="minorHAnsi"/>
              </w:rPr>
              <w:t xml:space="preserve"> in appropriate cases</w:t>
            </w:r>
            <w:r>
              <w:rPr>
                <w:rFonts w:cstheme="minorHAnsi"/>
              </w:rPr>
              <w:t xml:space="preserve"> fr</w:t>
            </w:r>
            <w:r w:rsidR="00C22015">
              <w:rPr>
                <w:rFonts w:cstheme="minorHAnsi"/>
              </w:rPr>
              <w:t>om 01/07/15</w:t>
            </w:r>
          </w:p>
          <w:p w:rsidR="008811B2" w:rsidRPr="007052A2" w:rsidRDefault="008811B2" w:rsidP="000064A6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72146" w:rsidRDefault="000609A3" w:rsidP="005573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993" w:type="dxa"/>
          </w:tcPr>
          <w:p w:rsidR="00C72146" w:rsidRPr="00E9027D" w:rsidRDefault="003F198E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146" w:rsidRPr="00E9027D" w:rsidRDefault="003F198E" w:rsidP="00583B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01/07/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C72146" w:rsidRPr="00E9027D" w:rsidRDefault="00C72146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C72146" w:rsidRPr="00E9027D" w:rsidRDefault="00C22015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AD has agreed that R</w:t>
            </w:r>
            <w:r w:rsidR="003F198E">
              <w:rPr>
                <w:rFonts w:cstheme="minorHAnsi"/>
              </w:rPr>
              <w:t>egions should</w:t>
            </w:r>
            <w:r w:rsidR="007A7C19">
              <w:rPr>
                <w:rFonts w:cstheme="minorHAnsi"/>
              </w:rPr>
              <w:t xml:space="preserve"> </w:t>
            </w:r>
            <w:r w:rsidR="003F198E">
              <w:rPr>
                <w:rFonts w:cstheme="minorHAnsi"/>
              </w:rPr>
              <w:t>/ will provide support.</w:t>
            </w:r>
          </w:p>
        </w:tc>
      </w:tr>
      <w:tr w:rsidR="00FC1BAD" w:rsidRPr="00E9027D" w:rsidTr="001812B2">
        <w:trPr>
          <w:trHeight w:val="735"/>
        </w:trPr>
        <w:tc>
          <w:tcPr>
            <w:tcW w:w="567" w:type="dxa"/>
            <w:shd w:val="clear" w:color="auto" w:fill="auto"/>
          </w:tcPr>
          <w:p w:rsidR="00FC1BAD" w:rsidRPr="00E9027D" w:rsidRDefault="00B00935" w:rsidP="00583B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3.5</w:t>
            </w:r>
          </w:p>
        </w:tc>
        <w:tc>
          <w:tcPr>
            <w:tcW w:w="3119" w:type="dxa"/>
            <w:shd w:val="clear" w:color="auto" w:fill="auto"/>
          </w:tcPr>
          <w:p w:rsidR="006043D2" w:rsidRDefault="006043D2" w:rsidP="00C9076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043D2">
              <w:rPr>
                <w:rFonts w:ascii="Calibri" w:hAnsi="Calibri" w:cs="Calibri"/>
              </w:rPr>
              <w:t>Insight would like to see front line staff receive training so they know what specific information is required, which forms evidence to support an investigation and for quicker diagnosis.</w:t>
            </w:r>
          </w:p>
          <w:p w:rsidR="003D66DD" w:rsidRPr="00E9027D" w:rsidRDefault="003D66DD" w:rsidP="00C9076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C1BAD" w:rsidRDefault="00FA569B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Agreed</w:t>
            </w:r>
          </w:p>
        </w:tc>
        <w:tc>
          <w:tcPr>
            <w:tcW w:w="4536" w:type="dxa"/>
            <w:shd w:val="clear" w:color="auto" w:fill="auto"/>
          </w:tcPr>
          <w:p w:rsidR="00FC1BAD" w:rsidRDefault="00331B05" w:rsidP="00583B44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as per 2.6</w:t>
            </w:r>
            <w:r w:rsidR="007052A2">
              <w:rPr>
                <w:rFonts w:cstheme="minorHAnsi"/>
              </w:rPr>
              <w:t>.</w:t>
            </w:r>
          </w:p>
          <w:p w:rsidR="007C6319" w:rsidRPr="00E9027D" w:rsidRDefault="007052A2" w:rsidP="000C1963">
            <w:pPr>
              <w:spacing w:after="0" w:line="240" w:lineRule="auto"/>
              <w:rPr>
                <w:rFonts w:cstheme="minorHAnsi"/>
              </w:rPr>
            </w:pPr>
            <w:r w:rsidRPr="0040355E">
              <w:rPr>
                <w:rFonts w:cstheme="minorHAnsi"/>
              </w:rPr>
              <w:t xml:space="preserve">The training listed in 2.6 will include sessions on </w:t>
            </w:r>
            <w:r w:rsidR="007C6319" w:rsidRPr="0040355E">
              <w:rPr>
                <w:rFonts w:cstheme="minorHAnsi"/>
              </w:rPr>
              <w:t>inf</w:t>
            </w:r>
            <w:r w:rsidRPr="0040355E">
              <w:rPr>
                <w:rFonts w:cstheme="minorHAnsi"/>
              </w:rPr>
              <w:t>ormation and evidence gathering for appropriate roles.</w:t>
            </w:r>
          </w:p>
        </w:tc>
        <w:tc>
          <w:tcPr>
            <w:tcW w:w="850" w:type="dxa"/>
            <w:shd w:val="clear" w:color="auto" w:fill="auto"/>
          </w:tcPr>
          <w:p w:rsidR="00FC1BAD" w:rsidRPr="00E9027D" w:rsidRDefault="00FA569B" w:rsidP="004F6F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993" w:type="dxa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  <w:shd w:val="clear" w:color="auto" w:fill="auto"/>
          </w:tcPr>
          <w:p w:rsidR="00FC1BAD" w:rsidRPr="00E9027D" w:rsidRDefault="00FC1BAD" w:rsidP="00583B44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C1BAD" w:rsidRPr="00E9027D" w:rsidRDefault="00FC1BAD" w:rsidP="00583B44">
            <w:pPr>
              <w:rPr>
                <w:rFonts w:cstheme="minorHAnsi"/>
              </w:rPr>
            </w:pPr>
          </w:p>
        </w:tc>
      </w:tr>
      <w:tr w:rsidR="00FA569B" w:rsidRPr="00E9027D" w:rsidTr="001812B2">
        <w:trPr>
          <w:trHeight w:val="735"/>
        </w:trPr>
        <w:tc>
          <w:tcPr>
            <w:tcW w:w="567" w:type="dxa"/>
            <w:shd w:val="clear" w:color="auto" w:fill="auto"/>
          </w:tcPr>
          <w:p w:rsidR="00FA569B" w:rsidRPr="00E9027D" w:rsidRDefault="00B00935" w:rsidP="00761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3.6</w:t>
            </w:r>
          </w:p>
        </w:tc>
        <w:tc>
          <w:tcPr>
            <w:tcW w:w="3119" w:type="dxa"/>
            <w:shd w:val="clear" w:color="auto" w:fill="auto"/>
          </w:tcPr>
          <w:p w:rsidR="006043D2" w:rsidRDefault="006043D2" w:rsidP="006043D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043D2">
              <w:rPr>
                <w:rFonts w:ascii="Calibri" w:hAnsi="Calibri" w:cs="Calibri"/>
              </w:rPr>
              <w:t>Insight recommend</w:t>
            </w:r>
            <w:r w:rsidR="003D66DD">
              <w:rPr>
                <w:rFonts w:ascii="Calibri" w:hAnsi="Calibri" w:cs="Calibri"/>
              </w:rPr>
              <w:t>s</w:t>
            </w:r>
            <w:r w:rsidRPr="006043D2">
              <w:rPr>
                <w:rFonts w:ascii="Calibri" w:hAnsi="Calibri" w:cs="Calibri"/>
              </w:rPr>
              <w:t xml:space="preserve"> additional training is provided for </w:t>
            </w:r>
            <w:proofErr w:type="spellStart"/>
            <w:r w:rsidRPr="006043D2">
              <w:rPr>
                <w:rFonts w:ascii="Calibri" w:hAnsi="Calibri" w:cs="Calibri"/>
              </w:rPr>
              <w:t>Orbis</w:t>
            </w:r>
            <w:proofErr w:type="spellEnd"/>
            <w:r w:rsidRPr="006043D2">
              <w:rPr>
                <w:rFonts w:ascii="Calibri" w:hAnsi="Calibri" w:cs="Calibri"/>
              </w:rPr>
              <w:t xml:space="preserve"> staff to enhance the customer experience of out of hours, with basic advice and signposting and to gather evidence.</w:t>
            </w:r>
          </w:p>
          <w:p w:rsidR="00311C71" w:rsidRPr="00E9027D" w:rsidRDefault="00311C71" w:rsidP="006043D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A569B" w:rsidRDefault="00803C1B" w:rsidP="00761099">
            <w:pPr>
              <w:rPr>
                <w:rFonts w:cstheme="minorHAnsi"/>
              </w:rPr>
            </w:pPr>
            <w:r>
              <w:rPr>
                <w:rFonts w:cstheme="minorHAnsi"/>
              </w:rPr>
              <w:t>Agreed</w:t>
            </w:r>
          </w:p>
        </w:tc>
        <w:tc>
          <w:tcPr>
            <w:tcW w:w="4536" w:type="dxa"/>
            <w:shd w:val="clear" w:color="auto" w:fill="auto"/>
          </w:tcPr>
          <w:p w:rsidR="00720331" w:rsidRDefault="00720331" w:rsidP="00A50A56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training 1</w:t>
            </w:r>
            <w:r w:rsidRPr="00720331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session April 2016</w:t>
            </w:r>
          </w:p>
          <w:p w:rsidR="00FA569B" w:rsidRPr="00E9027D" w:rsidRDefault="00720331" w:rsidP="00A50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Refresher training to be prepared by </w:t>
            </w:r>
            <w:proofErr w:type="spellStart"/>
            <w:r>
              <w:rPr>
                <w:rFonts w:cstheme="minorHAnsi"/>
              </w:rPr>
              <w:t>Orbis</w:t>
            </w:r>
            <w:proofErr w:type="spellEnd"/>
            <w:r>
              <w:rPr>
                <w:rFonts w:cstheme="minorHAnsi"/>
              </w:rPr>
              <w:t xml:space="preserve"> and approved by CSM by 01/06/16</w:t>
            </w:r>
            <w:r w:rsidR="00803C1B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A569B" w:rsidRPr="00E9027D" w:rsidRDefault="00803C1B" w:rsidP="00761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993" w:type="dxa"/>
          </w:tcPr>
          <w:p w:rsidR="00FA569B" w:rsidRPr="00E9027D" w:rsidRDefault="00720331" w:rsidP="00761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A569B" w:rsidRPr="00E9027D" w:rsidRDefault="00720331" w:rsidP="007610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01/06/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16</w:t>
            </w:r>
          </w:p>
        </w:tc>
        <w:tc>
          <w:tcPr>
            <w:tcW w:w="1044" w:type="dxa"/>
            <w:shd w:val="clear" w:color="auto" w:fill="auto"/>
          </w:tcPr>
          <w:p w:rsidR="00FA569B" w:rsidRPr="00E9027D" w:rsidRDefault="00FA569B" w:rsidP="00761099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A569B" w:rsidRPr="00E9027D" w:rsidRDefault="00F33137" w:rsidP="000C19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took place in 2014 and identified training needs to be </w:t>
            </w:r>
            <w:r w:rsidR="000C19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revisited and was included on SIP</w:t>
            </w:r>
          </w:p>
        </w:tc>
      </w:tr>
      <w:tr w:rsidR="00FA569B" w:rsidRPr="00E9027D" w:rsidTr="001812B2">
        <w:trPr>
          <w:trHeight w:val="735"/>
        </w:trPr>
        <w:tc>
          <w:tcPr>
            <w:tcW w:w="567" w:type="dxa"/>
            <w:shd w:val="clear" w:color="auto" w:fill="auto"/>
          </w:tcPr>
          <w:p w:rsidR="00FA569B" w:rsidRPr="00E9027D" w:rsidRDefault="00B00935" w:rsidP="00761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3.7</w:t>
            </w:r>
          </w:p>
        </w:tc>
        <w:tc>
          <w:tcPr>
            <w:tcW w:w="3119" w:type="dxa"/>
            <w:shd w:val="clear" w:color="auto" w:fill="auto"/>
          </w:tcPr>
          <w:p w:rsidR="006043D2" w:rsidRDefault="006043D2" w:rsidP="00655F4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043D2">
              <w:rPr>
                <w:rFonts w:ascii="Calibri" w:hAnsi="Calibri" w:cs="Calibri"/>
              </w:rPr>
              <w:t>Insight recommends a new customer satisfaction survey to increase the current 2 questions asked to enable greater customer reflection, to aid learn</w:t>
            </w:r>
            <w:r w:rsidR="00C90764">
              <w:rPr>
                <w:rFonts w:ascii="Calibri" w:hAnsi="Calibri" w:cs="Calibri"/>
              </w:rPr>
              <w:t>ing</w:t>
            </w:r>
            <w:r w:rsidRPr="006043D2">
              <w:rPr>
                <w:rFonts w:ascii="Calibri" w:hAnsi="Calibri" w:cs="Calibri"/>
              </w:rPr>
              <w:t xml:space="preserve"> from closed cases. </w:t>
            </w:r>
          </w:p>
          <w:p w:rsidR="00311C71" w:rsidRDefault="00311C71" w:rsidP="00655F4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11C71" w:rsidRPr="00E9027D" w:rsidRDefault="00311C71" w:rsidP="00655F4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A569B" w:rsidRDefault="00803C1B" w:rsidP="00655F4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536" w:type="dxa"/>
            <w:shd w:val="clear" w:color="auto" w:fill="auto"/>
          </w:tcPr>
          <w:p w:rsidR="0040355E" w:rsidRPr="0040355E" w:rsidRDefault="0040355E" w:rsidP="00655F4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 now have a new set of questions which compliment the previous satisfaction questions, that focus on the customer journey and experience rather than focussing on the outcome, this was launched in April 2015.</w:t>
            </w:r>
          </w:p>
        </w:tc>
        <w:tc>
          <w:tcPr>
            <w:tcW w:w="850" w:type="dxa"/>
            <w:shd w:val="clear" w:color="auto" w:fill="auto"/>
          </w:tcPr>
          <w:p w:rsidR="00FA569B" w:rsidRPr="00E9027D" w:rsidRDefault="00B1335E" w:rsidP="00655F4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993" w:type="dxa"/>
          </w:tcPr>
          <w:p w:rsidR="00FA569B" w:rsidRPr="00E9027D" w:rsidRDefault="00720331" w:rsidP="00655F4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A569B" w:rsidRPr="00E9027D" w:rsidRDefault="00720331" w:rsidP="00655F4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01/09/</w:t>
            </w:r>
            <w:r w:rsidR="0060162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FA569B" w:rsidRPr="00E9027D" w:rsidRDefault="00FA569B" w:rsidP="00655F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auto"/>
          </w:tcPr>
          <w:p w:rsidR="00FA569B" w:rsidRPr="00E9027D" w:rsidRDefault="00720331" w:rsidP="00655F45">
            <w:pPr>
              <w:spacing w:after="0" w:line="240" w:lineRule="auto"/>
              <w:rPr>
                <w:rFonts w:cstheme="minorHAnsi"/>
              </w:rPr>
            </w:pPr>
            <w:r w:rsidRPr="00EC38B8">
              <w:rPr>
                <w:rFonts w:cstheme="minorHAnsi"/>
                <w:highlight w:val="green"/>
              </w:rPr>
              <w:t>COMPLETED</w:t>
            </w:r>
          </w:p>
        </w:tc>
      </w:tr>
    </w:tbl>
    <w:p w:rsidR="007B7FD7" w:rsidRDefault="007B7FD7" w:rsidP="00C90764">
      <w:pPr>
        <w:rPr>
          <w:b/>
        </w:rPr>
      </w:pPr>
    </w:p>
    <w:p w:rsidR="0040355E" w:rsidRPr="007B7FD7" w:rsidRDefault="0040355E" w:rsidP="00C90764">
      <w:pPr>
        <w:rPr>
          <w:b/>
        </w:rPr>
      </w:pPr>
    </w:p>
    <w:sectPr w:rsidR="0040355E" w:rsidRPr="007B7FD7" w:rsidSect="007B7F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E9C"/>
    <w:multiLevelType w:val="hybridMultilevel"/>
    <w:tmpl w:val="1F9AD744"/>
    <w:lvl w:ilvl="0" w:tplc="24064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0B7"/>
    <w:multiLevelType w:val="hybridMultilevel"/>
    <w:tmpl w:val="DFDCBAAE"/>
    <w:lvl w:ilvl="0" w:tplc="1A523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2447"/>
    <w:multiLevelType w:val="hybridMultilevel"/>
    <w:tmpl w:val="E698FB90"/>
    <w:lvl w:ilvl="0" w:tplc="7D9AE4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09C4"/>
    <w:multiLevelType w:val="hybridMultilevel"/>
    <w:tmpl w:val="35FA22E8"/>
    <w:lvl w:ilvl="0" w:tplc="962CC3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D0E"/>
    <w:multiLevelType w:val="hybridMultilevel"/>
    <w:tmpl w:val="498C12C0"/>
    <w:lvl w:ilvl="0" w:tplc="9320A9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B2B64"/>
    <w:multiLevelType w:val="hybridMultilevel"/>
    <w:tmpl w:val="B6EE5DAA"/>
    <w:lvl w:ilvl="0" w:tplc="43F2F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C5CA7"/>
    <w:multiLevelType w:val="multilevel"/>
    <w:tmpl w:val="948666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3F304F33"/>
    <w:multiLevelType w:val="hybridMultilevel"/>
    <w:tmpl w:val="78A61850"/>
    <w:lvl w:ilvl="0" w:tplc="BB182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1186"/>
    <w:multiLevelType w:val="hybridMultilevel"/>
    <w:tmpl w:val="A7C4802E"/>
    <w:lvl w:ilvl="0" w:tplc="82DCC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D7"/>
    <w:rsid w:val="000064A6"/>
    <w:rsid w:val="00025B8A"/>
    <w:rsid w:val="00026B69"/>
    <w:rsid w:val="0004011D"/>
    <w:rsid w:val="00047119"/>
    <w:rsid w:val="000609A3"/>
    <w:rsid w:val="00071E71"/>
    <w:rsid w:val="00086144"/>
    <w:rsid w:val="00092364"/>
    <w:rsid w:val="000968A4"/>
    <w:rsid w:val="000B0884"/>
    <w:rsid w:val="000B43BE"/>
    <w:rsid w:val="000B5413"/>
    <w:rsid w:val="000C1963"/>
    <w:rsid w:val="000C4C75"/>
    <w:rsid w:val="000E27B9"/>
    <w:rsid w:val="00102A83"/>
    <w:rsid w:val="001112F8"/>
    <w:rsid w:val="00122B9F"/>
    <w:rsid w:val="001336D5"/>
    <w:rsid w:val="00154419"/>
    <w:rsid w:val="00162A40"/>
    <w:rsid w:val="001708EE"/>
    <w:rsid w:val="001812B2"/>
    <w:rsid w:val="00181FB8"/>
    <w:rsid w:val="001928A0"/>
    <w:rsid w:val="001B0974"/>
    <w:rsid w:val="001B517F"/>
    <w:rsid w:val="001B65B5"/>
    <w:rsid w:val="001C39AB"/>
    <w:rsid w:val="001D64CC"/>
    <w:rsid w:val="001E2998"/>
    <w:rsid w:val="001E469F"/>
    <w:rsid w:val="001F12A0"/>
    <w:rsid w:val="00201808"/>
    <w:rsid w:val="00210296"/>
    <w:rsid w:val="002102ED"/>
    <w:rsid w:val="002139A2"/>
    <w:rsid w:val="0021608F"/>
    <w:rsid w:val="00232D8C"/>
    <w:rsid w:val="002373BE"/>
    <w:rsid w:val="0024004A"/>
    <w:rsid w:val="002405D7"/>
    <w:rsid w:val="00247464"/>
    <w:rsid w:val="002540C4"/>
    <w:rsid w:val="002579B7"/>
    <w:rsid w:val="0026052B"/>
    <w:rsid w:val="0027085F"/>
    <w:rsid w:val="0027531F"/>
    <w:rsid w:val="00290541"/>
    <w:rsid w:val="002A30E3"/>
    <w:rsid w:val="003108E7"/>
    <w:rsid w:val="00311C71"/>
    <w:rsid w:val="00316AD0"/>
    <w:rsid w:val="00326F19"/>
    <w:rsid w:val="00330DD6"/>
    <w:rsid w:val="00331B05"/>
    <w:rsid w:val="00340E62"/>
    <w:rsid w:val="00361079"/>
    <w:rsid w:val="00362ABB"/>
    <w:rsid w:val="0038228E"/>
    <w:rsid w:val="003827AC"/>
    <w:rsid w:val="00394B10"/>
    <w:rsid w:val="003975BB"/>
    <w:rsid w:val="003A0DBB"/>
    <w:rsid w:val="003B3ED4"/>
    <w:rsid w:val="003C7A74"/>
    <w:rsid w:val="003D217D"/>
    <w:rsid w:val="003D66DD"/>
    <w:rsid w:val="003D693E"/>
    <w:rsid w:val="003F06DC"/>
    <w:rsid w:val="003F198E"/>
    <w:rsid w:val="0040355E"/>
    <w:rsid w:val="00405A35"/>
    <w:rsid w:val="00421C15"/>
    <w:rsid w:val="0042206F"/>
    <w:rsid w:val="004241E1"/>
    <w:rsid w:val="004267EE"/>
    <w:rsid w:val="00430C1B"/>
    <w:rsid w:val="00433D09"/>
    <w:rsid w:val="004666E7"/>
    <w:rsid w:val="0046695F"/>
    <w:rsid w:val="004675A7"/>
    <w:rsid w:val="004A644E"/>
    <w:rsid w:val="004B438A"/>
    <w:rsid w:val="004D1E63"/>
    <w:rsid w:val="004E3F7E"/>
    <w:rsid w:val="004F164B"/>
    <w:rsid w:val="004F5A65"/>
    <w:rsid w:val="004F6FCC"/>
    <w:rsid w:val="0051323D"/>
    <w:rsid w:val="005206D3"/>
    <w:rsid w:val="00534484"/>
    <w:rsid w:val="00541170"/>
    <w:rsid w:val="00555F33"/>
    <w:rsid w:val="00557361"/>
    <w:rsid w:val="0056741C"/>
    <w:rsid w:val="0057171F"/>
    <w:rsid w:val="00583B44"/>
    <w:rsid w:val="0058594F"/>
    <w:rsid w:val="00595742"/>
    <w:rsid w:val="005A3B72"/>
    <w:rsid w:val="005C45F3"/>
    <w:rsid w:val="005D02F2"/>
    <w:rsid w:val="005F76F2"/>
    <w:rsid w:val="00601621"/>
    <w:rsid w:val="0060352D"/>
    <w:rsid w:val="00603BB9"/>
    <w:rsid w:val="006043D2"/>
    <w:rsid w:val="00614505"/>
    <w:rsid w:val="00634D1F"/>
    <w:rsid w:val="0063615F"/>
    <w:rsid w:val="006519D7"/>
    <w:rsid w:val="00655B05"/>
    <w:rsid w:val="00655F45"/>
    <w:rsid w:val="006713F1"/>
    <w:rsid w:val="00674AA7"/>
    <w:rsid w:val="0069728A"/>
    <w:rsid w:val="006A46F5"/>
    <w:rsid w:val="006B2200"/>
    <w:rsid w:val="006D0ABB"/>
    <w:rsid w:val="006D20B1"/>
    <w:rsid w:val="006E2873"/>
    <w:rsid w:val="006E55EA"/>
    <w:rsid w:val="006E72CB"/>
    <w:rsid w:val="007052A2"/>
    <w:rsid w:val="00705BD2"/>
    <w:rsid w:val="00706D58"/>
    <w:rsid w:val="00715519"/>
    <w:rsid w:val="00720331"/>
    <w:rsid w:val="00721A21"/>
    <w:rsid w:val="00744133"/>
    <w:rsid w:val="00747DCF"/>
    <w:rsid w:val="007A7C19"/>
    <w:rsid w:val="007B7FD7"/>
    <w:rsid w:val="007C6319"/>
    <w:rsid w:val="007D0770"/>
    <w:rsid w:val="007D7F0B"/>
    <w:rsid w:val="007E109F"/>
    <w:rsid w:val="0080147F"/>
    <w:rsid w:val="00803C1B"/>
    <w:rsid w:val="008054CE"/>
    <w:rsid w:val="0081621F"/>
    <w:rsid w:val="00816B4C"/>
    <w:rsid w:val="00817C4B"/>
    <w:rsid w:val="00827FC7"/>
    <w:rsid w:val="00840DBC"/>
    <w:rsid w:val="00857BEA"/>
    <w:rsid w:val="00862A08"/>
    <w:rsid w:val="00865ECD"/>
    <w:rsid w:val="008675F4"/>
    <w:rsid w:val="008811B2"/>
    <w:rsid w:val="008900D3"/>
    <w:rsid w:val="008903A4"/>
    <w:rsid w:val="008A4392"/>
    <w:rsid w:val="008A64D9"/>
    <w:rsid w:val="008B7E84"/>
    <w:rsid w:val="008C7048"/>
    <w:rsid w:val="008F314C"/>
    <w:rsid w:val="008F328A"/>
    <w:rsid w:val="00903A90"/>
    <w:rsid w:val="00927BFE"/>
    <w:rsid w:val="009577FF"/>
    <w:rsid w:val="00977D45"/>
    <w:rsid w:val="009951F5"/>
    <w:rsid w:val="009C7447"/>
    <w:rsid w:val="009D49AA"/>
    <w:rsid w:val="009D526A"/>
    <w:rsid w:val="009E28F2"/>
    <w:rsid w:val="009F32B5"/>
    <w:rsid w:val="00A01CA6"/>
    <w:rsid w:val="00A052FA"/>
    <w:rsid w:val="00A151B9"/>
    <w:rsid w:val="00A22FD1"/>
    <w:rsid w:val="00A42744"/>
    <w:rsid w:val="00A42FFF"/>
    <w:rsid w:val="00A50A56"/>
    <w:rsid w:val="00A517A2"/>
    <w:rsid w:val="00A5667E"/>
    <w:rsid w:val="00A87BD0"/>
    <w:rsid w:val="00AA2771"/>
    <w:rsid w:val="00AB0162"/>
    <w:rsid w:val="00AC646D"/>
    <w:rsid w:val="00AD4C5C"/>
    <w:rsid w:val="00AE127B"/>
    <w:rsid w:val="00AE6243"/>
    <w:rsid w:val="00AF3267"/>
    <w:rsid w:val="00B00935"/>
    <w:rsid w:val="00B03D36"/>
    <w:rsid w:val="00B04D6D"/>
    <w:rsid w:val="00B07C17"/>
    <w:rsid w:val="00B1335E"/>
    <w:rsid w:val="00B62136"/>
    <w:rsid w:val="00B65D9E"/>
    <w:rsid w:val="00B72649"/>
    <w:rsid w:val="00BB0D14"/>
    <w:rsid w:val="00BB2877"/>
    <w:rsid w:val="00BB4556"/>
    <w:rsid w:val="00BC3249"/>
    <w:rsid w:val="00BC53BE"/>
    <w:rsid w:val="00BD679E"/>
    <w:rsid w:val="00BE34D3"/>
    <w:rsid w:val="00BE6F91"/>
    <w:rsid w:val="00BF58F4"/>
    <w:rsid w:val="00C11524"/>
    <w:rsid w:val="00C149DD"/>
    <w:rsid w:val="00C20A4F"/>
    <w:rsid w:val="00C22015"/>
    <w:rsid w:val="00C31EB7"/>
    <w:rsid w:val="00C334E7"/>
    <w:rsid w:val="00C3378D"/>
    <w:rsid w:val="00C45317"/>
    <w:rsid w:val="00C51A3A"/>
    <w:rsid w:val="00C72146"/>
    <w:rsid w:val="00C90764"/>
    <w:rsid w:val="00C93A47"/>
    <w:rsid w:val="00CB2AB5"/>
    <w:rsid w:val="00CC6520"/>
    <w:rsid w:val="00CD2E51"/>
    <w:rsid w:val="00CD7FB3"/>
    <w:rsid w:val="00D4071A"/>
    <w:rsid w:val="00D77706"/>
    <w:rsid w:val="00D812DD"/>
    <w:rsid w:val="00D854BE"/>
    <w:rsid w:val="00DC48CB"/>
    <w:rsid w:val="00DC6236"/>
    <w:rsid w:val="00DD283B"/>
    <w:rsid w:val="00DE3AE6"/>
    <w:rsid w:val="00DE668F"/>
    <w:rsid w:val="00DF1601"/>
    <w:rsid w:val="00E145A8"/>
    <w:rsid w:val="00E17E28"/>
    <w:rsid w:val="00E2320B"/>
    <w:rsid w:val="00E35178"/>
    <w:rsid w:val="00E55EA8"/>
    <w:rsid w:val="00E5750C"/>
    <w:rsid w:val="00E66D61"/>
    <w:rsid w:val="00E75D95"/>
    <w:rsid w:val="00E8214E"/>
    <w:rsid w:val="00E838EC"/>
    <w:rsid w:val="00E85C43"/>
    <w:rsid w:val="00E9027D"/>
    <w:rsid w:val="00E96108"/>
    <w:rsid w:val="00EA038F"/>
    <w:rsid w:val="00EB203B"/>
    <w:rsid w:val="00EB725C"/>
    <w:rsid w:val="00EC38B8"/>
    <w:rsid w:val="00ED15FC"/>
    <w:rsid w:val="00ED4D7D"/>
    <w:rsid w:val="00ED5654"/>
    <w:rsid w:val="00EE0EC9"/>
    <w:rsid w:val="00F03081"/>
    <w:rsid w:val="00F04068"/>
    <w:rsid w:val="00F0684C"/>
    <w:rsid w:val="00F135EF"/>
    <w:rsid w:val="00F256E2"/>
    <w:rsid w:val="00F312C9"/>
    <w:rsid w:val="00F31DEF"/>
    <w:rsid w:val="00F33137"/>
    <w:rsid w:val="00F37294"/>
    <w:rsid w:val="00F560CA"/>
    <w:rsid w:val="00F83EDC"/>
    <w:rsid w:val="00F87195"/>
    <w:rsid w:val="00F950E2"/>
    <w:rsid w:val="00FA569B"/>
    <w:rsid w:val="00FA6F29"/>
    <w:rsid w:val="00FB1A21"/>
    <w:rsid w:val="00FB3103"/>
    <w:rsid w:val="00FB4648"/>
    <w:rsid w:val="00FC1BAD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676D8F52-C98A-43BA-8002-618CDE029D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Glennon</dc:creator>
  <cp:lastModifiedBy>Tracy Gregory</cp:lastModifiedBy>
  <cp:revision>3</cp:revision>
  <cp:lastPrinted>2015-07-01T14:48:00Z</cp:lastPrinted>
  <dcterms:created xsi:type="dcterms:W3CDTF">2015-07-01T15:12:00Z</dcterms:created>
  <dcterms:modified xsi:type="dcterms:W3CDTF">2015-07-01T15:43:00Z</dcterms:modified>
</cp:coreProperties>
</file>