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5749"/>
      </w:tblGrid>
      <w:tr w:rsidR="003B1276" w:rsidRPr="004A2CC5" w:rsidTr="00D33FC9">
        <w:tc>
          <w:tcPr>
            <w:tcW w:w="10960" w:type="dxa"/>
            <w:gridSpan w:val="2"/>
          </w:tcPr>
          <w:p w:rsidR="004A2CC5" w:rsidRPr="00485F79" w:rsidRDefault="00F830DC" w:rsidP="00074ABF">
            <w:pPr>
              <w:rPr>
                <w:b/>
                <w:color w:val="00B050"/>
              </w:rPr>
            </w:pPr>
            <w:r w:rsidRPr="00485F79">
              <w:rPr>
                <w:b/>
                <w:color w:val="00B050"/>
              </w:rPr>
              <w:t>Quality and Insight Panel (QIP)</w:t>
            </w:r>
            <w:r w:rsidR="003B1276" w:rsidRPr="00485F79">
              <w:rPr>
                <w:b/>
                <w:color w:val="00B050"/>
              </w:rPr>
              <w:t>.</w:t>
            </w:r>
          </w:p>
          <w:p w:rsidR="004A2CC5" w:rsidRPr="004A2CC5" w:rsidRDefault="00F830DC" w:rsidP="00074ABF">
            <w:pPr>
              <w:jc w:val="both"/>
              <w:rPr>
                <w:rFonts w:ascii="GillSansStd-Light" w:hAnsi="GillSansStd-Light" w:cs="GillSansStd-Light"/>
                <w:sz w:val="18"/>
                <w:szCs w:val="18"/>
              </w:rPr>
            </w:pPr>
            <w:r w:rsidRPr="00F830DC">
              <w:rPr>
                <w:rFonts w:ascii="GillSansStd-Light" w:hAnsi="GillSansStd-Light" w:cs="GillSansStd-Light"/>
                <w:sz w:val="18"/>
                <w:szCs w:val="18"/>
              </w:rPr>
              <w:t xml:space="preserve">In 2011 the Trust established the QIP as an integral part of the Trust’s Governance structure. The QIP comprises of a number of tenants and leaseholder representatives; its role is to review scrutinise and challenge service delivery from the customer perspective, provide </w:t>
            </w:r>
            <w:r w:rsidRPr="008C52AB">
              <w:rPr>
                <w:rFonts w:ascii="GillSansStd-Light" w:hAnsi="GillSansStd-Light" w:cs="GillSansStd-Light"/>
                <w:sz w:val="18"/>
                <w:szCs w:val="18"/>
              </w:rPr>
              <w:t xml:space="preserve">recommendations to improve services, and act as the voice of the customer to inform activities from the heart of THT’s approach to self-regulation. The panel provides extra accountability </w:t>
            </w:r>
            <w:r w:rsidR="008C52AB">
              <w:rPr>
                <w:rFonts w:ascii="GillSansStd-Light" w:hAnsi="GillSansStd-Light" w:cs="GillSansStd-Light"/>
                <w:sz w:val="18"/>
                <w:szCs w:val="18"/>
              </w:rPr>
              <w:t xml:space="preserve">and challenge to Trust policies </w:t>
            </w:r>
            <w:r w:rsidRPr="008C52AB">
              <w:rPr>
                <w:rFonts w:ascii="GillSansStd-Light" w:hAnsi="GillSansStd-Light" w:cs="GillSansStd-Light"/>
                <w:sz w:val="18"/>
                <w:szCs w:val="18"/>
              </w:rPr>
              <w:t>and decisions.</w:t>
            </w:r>
          </w:p>
        </w:tc>
      </w:tr>
      <w:tr w:rsidR="008C52AB" w:rsidTr="00D33FC9">
        <w:trPr>
          <w:trHeight w:val="1031"/>
        </w:trPr>
        <w:tc>
          <w:tcPr>
            <w:tcW w:w="10960" w:type="dxa"/>
            <w:gridSpan w:val="2"/>
          </w:tcPr>
          <w:p w:rsidR="008C52AB" w:rsidRPr="00485F79" w:rsidRDefault="009B554F" w:rsidP="00074ABF">
            <w:pPr>
              <w:pStyle w:val="Default"/>
              <w:rPr>
                <w:b/>
                <w:color w:val="00B050"/>
              </w:rPr>
            </w:pPr>
            <w:r w:rsidRPr="00485F79">
              <w:rPr>
                <w:rFonts w:asciiTheme="minorHAnsi" w:hAnsiTheme="minorHAnsi"/>
                <w:b/>
                <w:bCs/>
                <w:color w:val="00B050"/>
                <w:sz w:val="20"/>
                <w:szCs w:val="20"/>
              </w:rPr>
              <w:t>ROLE PURPOSE</w:t>
            </w:r>
            <w:r w:rsidR="002416CB" w:rsidRPr="00485F79">
              <w:rPr>
                <w:rFonts w:asciiTheme="minorHAnsi" w:hAnsiTheme="minorHAnsi"/>
                <w:b/>
                <w:bCs/>
                <w:color w:val="00B050"/>
                <w:sz w:val="20"/>
                <w:szCs w:val="20"/>
              </w:rPr>
              <w:t>.</w:t>
            </w:r>
          </w:p>
          <w:tbl>
            <w:tblPr>
              <w:tblW w:w="1063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2"/>
            </w:tblGrid>
            <w:tr w:rsidR="00CF1CFC" w:rsidRPr="00CF1CFC" w:rsidTr="00CF1CFC">
              <w:trPr>
                <w:trHeight w:val="99"/>
              </w:trPr>
              <w:tc>
                <w:tcPr>
                  <w:tcW w:w="10632" w:type="dxa"/>
                </w:tcPr>
                <w:p w:rsidR="00CF1CFC" w:rsidRPr="00CF1CFC" w:rsidRDefault="00CF1CFC" w:rsidP="00885EC7">
                  <w:pPr>
                    <w:pStyle w:val="Default"/>
                    <w:framePr w:hSpace="180" w:wrap="around" w:vAnchor="text" w:hAnchor="text" w:y="1"/>
                    <w:ind w:left="-108"/>
                    <w:suppressOverlap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CF1CF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Responsible for</w:t>
                  </w:r>
                  <w:r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representing the needs of tenants and leaseholders when scrutinising service processes. To challenge the Trust and make recommendations for improvements to service delivery. </w:t>
                  </w:r>
                  <w:r w:rsidR="00952109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To consider the cost effectiveness</w:t>
                  </w:r>
                  <w:r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, Va</w:t>
                  </w:r>
                  <w:r w:rsidR="00952109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lue for money (VFM) </w:t>
                  </w:r>
                  <w:r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of the services under review and make informed decisions based on all data and consultation feedback received. </w:t>
                  </w:r>
                  <w:r w:rsidRPr="00CF1CFC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C52AB" w:rsidRDefault="008C52AB" w:rsidP="00074ABF"/>
        </w:tc>
      </w:tr>
      <w:tr w:rsidR="00F830DC" w:rsidTr="00D33FC9">
        <w:tc>
          <w:tcPr>
            <w:tcW w:w="5211" w:type="dxa"/>
          </w:tcPr>
          <w:p w:rsidR="004F516D" w:rsidRPr="004F516D" w:rsidRDefault="004F516D" w:rsidP="00074A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8"/>
            </w:tblGrid>
            <w:tr w:rsidR="004F516D" w:rsidRPr="004F516D" w:rsidTr="00596595">
              <w:trPr>
                <w:trHeight w:val="99"/>
              </w:trPr>
              <w:tc>
                <w:tcPr>
                  <w:tcW w:w="4678" w:type="dxa"/>
                </w:tcPr>
                <w:p w:rsidR="004F516D" w:rsidRPr="004F516D" w:rsidRDefault="004F516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F516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ACCOUNTABILITIES </w:t>
                  </w:r>
                </w:p>
              </w:tc>
            </w:tr>
            <w:tr w:rsidR="00952109" w:rsidRPr="004F516D" w:rsidTr="00596595">
              <w:trPr>
                <w:trHeight w:val="99"/>
              </w:trPr>
              <w:tc>
                <w:tcPr>
                  <w:tcW w:w="4678" w:type="dxa"/>
                </w:tcPr>
                <w:p w:rsidR="00952109" w:rsidRPr="00952109" w:rsidRDefault="0095210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462"/>
                  </w:tblGrid>
                  <w:tr w:rsidR="00952109" w:rsidRPr="00952109">
                    <w:trPr>
                      <w:trHeight w:val="4298"/>
                    </w:trPr>
                    <w:tc>
                      <w:tcPr>
                        <w:tcW w:w="0" w:type="auto"/>
                      </w:tcPr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1.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Accountable to the wider customer body and must act with transparency</w:t>
                        </w: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Reflect the needs and aspirations of the wider customer body.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3.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Respect the governance of the Trusts Board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4.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Make recommendations based on robust evidence and reflect the context in which the Trust operates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5. 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Have due regard for national standards and accepted good/exemplar practice</w:t>
                        </w: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6. 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Respect and adhere to the QIP Terms of Reference</w:t>
                        </w: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7. 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Respect and adhere to the QIP Code of Conduct.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8. 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CD6D0A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Develop</w:t>
                        </w:r>
                        <w:r w:rsidR="00A8555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an awareness of the </w:t>
                        </w: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Trust</w:t>
                        </w:r>
                        <w:r w:rsidR="00CD6D0A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s business as a </w:t>
                        </w:r>
                        <w:r w:rsidR="001E323D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 w:rsidR="00CD6D0A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whole, the THT business plan and </w:t>
                        </w:r>
                        <w:r w:rsidR="00596595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any </w:t>
                        </w:r>
                        <w:r w:rsidR="00CD6D0A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social, environmental and financial impacts that may be detrimental to its overall aims and achievements</w:t>
                        </w:r>
                        <w:r w:rsidRPr="00952109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19237C" w:rsidRDefault="0019237C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9237C" w:rsidRDefault="001E323D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19237C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 Commitment to self-development and attendance of training/Induction session.</w:t>
                        </w:r>
                      </w:p>
                      <w:p w:rsidR="0019237C" w:rsidRDefault="0019237C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19237C" w:rsidRPr="00952109" w:rsidRDefault="001E323D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r w:rsidR="0019237C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 Commitment to attending regular QIP meetings and participating in decision making.</w:t>
                        </w:r>
                      </w:p>
                      <w:p w:rsidR="00952109" w:rsidRPr="00952109" w:rsidRDefault="00952109" w:rsidP="00885EC7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2109" w:rsidRPr="004F516D" w:rsidRDefault="0095210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F516D" w:rsidRPr="004F516D" w:rsidTr="00596595">
              <w:trPr>
                <w:trHeight w:val="99"/>
              </w:trPr>
              <w:tc>
                <w:tcPr>
                  <w:tcW w:w="4678" w:type="dxa"/>
                </w:tcPr>
                <w:p w:rsidR="004F516D" w:rsidRDefault="004F516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4F516D" w:rsidRDefault="004F516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4F516D" w:rsidRDefault="004F516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4F516D" w:rsidRDefault="004F516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4F516D" w:rsidRDefault="004F516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74ABF" w:rsidRDefault="00074ABF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2416CB" w:rsidRDefault="002416CB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1E323D" w:rsidRDefault="001E323D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485F79" w:rsidRDefault="00485F7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2416CB" w:rsidRDefault="002416CB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528C1" w:rsidRDefault="00074ABF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4AB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Role Title: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08600D" w:rsidRPr="00485F79">
                    <w:rPr>
                      <w:rFonts w:ascii="Calibri" w:hAnsi="Calibri" w:cs="Calibri"/>
                      <w:b/>
                      <w:bCs/>
                      <w:color w:val="00B050"/>
                      <w:sz w:val="20"/>
                      <w:szCs w:val="20"/>
                    </w:rPr>
                    <w:t>Quality and Insight Panel Member</w:t>
                  </w:r>
                  <w:r w:rsidR="0008600D" w:rsidRPr="0008600D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  <w:p w:rsidR="004F516D" w:rsidRPr="00074ABF" w:rsidRDefault="00074ABF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</w:p>
              </w:tc>
            </w:tr>
          </w:tbl>
          <w:p w:rsidR="00F830DC" w:rsidRPr="009B554F" w:rsidRDefault="00F830DC" w:rsidP="009B554F">
            <w:pPr>
              <w:tabs>
                <w:tab w:val="left" w:pos="2952"/>
              </w:tabs>
            </w:pPr>
          </w:p>
        </w:tc>
        <w:tc>
          <w:tcPr>
            <w:tcW w:w="5749" w:type="dxa"/>
          </w:tcPr>
          <w:p w:rsidR="00596595" w:rsidRPr="00596595" w:rsidRDefault="00596595" w:rsidP="00074A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7"/>
            </w:tblGrid>
            <w:tr w:rsidR="00596595" w:rsidRPr="00596595">
              <w:trPr>
                <w:trHeight w:val="99"/>
              </w:trPr>
              <w:tc>
                <w:tcPr>
                  <w:tcW w:w="0" w:type="auto"/>
                </w:tcPr>
                <w:p w:rsidR="00596595" w:rsidRPr="00596595" w:rsidRDefault="00596595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246" w:firstLine="246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96595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SKILLS, KNOWLEDGE &amp; EXPERIENCE </w:t>
                  </w:r>
                </w:p>
              </w:tc>
            </w:tr>
            <w:tr w:rsidR="00596595" w:rsidRPr="00596595">
              <w:trPr>
                <w:trHeight w:val="99"/>
              </w:trPr>
              <w:tc>
                <w:tcPr>
                  <w:tcW w:w="0" w:type="auto"/>
                </w:tcPr>
                <w:p w:rsidR="00596595" w:rsidRPr="00596595" w:rsidRDefault="00596595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49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596595" w:rsidRPr="00596595" w:rsidTr="00596595">
                    <w:trPr>
                      <w:trHeight w:val="1537"/>
                    </w:trPr>
                    <w:tc>
                      <w:tcPr>
                        <w:tcW w:w="4901" w:type="dxa"/>
                      </w:tcPr>
                      <w:p w:rsidR="00596595" w:rsidRDefault="00596595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Ability to </w:t>
                        </w:r>
                        <w:r w:rsidR="0019237C" w:rsidRPr="000477A8">
                          <w:rPr>
                            <w:rFonts w:ascii="Calibri" w:hAnsi="Calibri"/>
                            <w:sz w:val="20"/>
                            <w:szCs w:val="20"/>
                          </w:rPr>
                          <w:t>dissect information and data</w:t>
                        </w:r>
                        <w:r w:rsidR="00341834" w:rsidRPr="000477A8"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</w:p>
                      <w:p w:rsidR="009B554F" w:rsidRPr="000477A8" w:rsidRDefault="009B554F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Ability to work timely and to tight deadlines.</w:t>
                        </w:r>
                      </w:p>
                      <w:p w:rsidR="0019237C" w:rsidRPr="000477A8" w:rsidRDefault="0019237C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/>
                            <w:sz w:val="20"/>
                            <w:szCs w:val="20"/>
                          </w:rPr>
                          <w:t>Excellent communication skills</w:t>
                        </w:r>
                        <w:r w:rsidR="00341834" w:rsidRPr="000477A8"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</w:p>
                      <w:p w:rsidR="000477A8" w:rsidRPr="000477A8" w:rsidRDefault="0019237C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Balanced decision maker</w:t>
                        </w:r>
                        <w:r w:rsidR="00CC75E2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0477A8" w:rsidRPr="00C12348" w:rsidRDefault="000477A8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cs="Times New Roman"/>
                            <w:color w:val="000000"/>
                            <w:sz w:val="20"/>
                            <w:szCs w:val="20"/>
                          </w:rPr>
                          <w:t>Analytical skills</w:t>
                        </w:r>
                        <w:r w:rsidR="00CC75E2">
                          <w:rPr>
                            <w:rFonts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0477A8">
                          <w:rPr>
                            <w:rFonts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12348" w:rsidRPr="000477A8" w:rsidRDefault="00C12348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0"/>
                            <w:szCs w:val="20"/>
                          </w:rPr>
                          <w:t>Time management.</w:t>
                        </w:r>
                      </w:p>
                      <w:p w:rsidR="0019237C" w:rsidRPr="000477A8" w:rsidRDefault="0019237C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Experience of working with other Customer Involved groups.</w:t>
                        </w:r>
                      </w:p>
                      <w:p w:rsidR="0046246D" w:rsidRPr="000477A8" w:rsidRDefault="0019237C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Experience of THT as a tenant or leaseholder</w:t>
                        </w:r>
                        <w:r w:rsidR="00341834"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46246D" w:rsidRPr="000477A8" w:rsidRDefault="0046246D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An understanding of Value for Money (VFM)</w:t>
                        </w:r>
                      </w:p>
                      <w:p w:rsidR="0019237C" w:rsidRPr="000477A8" w:rsidRDefault="0046246D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based skills</w:t>
                        </w:r>
                        <w:r w:rsidR="00341834"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19237C" w:rsidRPr="00C12348" w:rsidRDefault="00341834" w:rsidP="00885EC7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0477A8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Microsoft Office.</w:t>
                        </w:r>
                      </w:p>
                    </w:tc>
                  </w:tr>
                </w:tbl>
                <w:p w:rsidR="00596595" w:rsidRPr="00596595" w:rsidRDefault="00596595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41834" w:rsidRPr="00B52F5B" w:rsidRDefault="00341834" w:rsidP="00074ABF">
            <w:pPr>
              <w:rPr>
                <w:sz w:val="20"/>
                <w:szCs w:val="20"/>
              </w:rPr>
            </w:pPr>
          </w:p>
          <w:tbl>
            <w:tblPr>
              <w:tblW w:w="539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84"/>
              <w:gridCol w:w="2107"/>
            </w:tblGrid>
            <w:tr w:rsidR="00074ABF" w:rsidRPr="00B52F5B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B52F5B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QIP</w:t>
                  </w:r>
                  <w:r w:rsidR="00341834" w:rsidRPr="003418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Behavioural Competencies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B52F5B" w:rsidRDefault="007F3F3E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341834"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341834" w:rsidRPr="003418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Level </w:t>
                  </w:r>
                </w:p>
                <w:p w:rsidR="00B52F5B" w:rsidRPr="00341834" w:rsidRDefault="00B52F5B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Customer Focus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7F3F3E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Essential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Problem Solving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0477A8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Essential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Initiative &amp; Innovation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0477A8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Essential</w:t>
                  </w:r>
                  <w:r w:rsidR="00341834"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E15CD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Ability to positively challenge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E15C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Essential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Communication &amp; Influencing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0477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Essential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E15CD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Diplomacy &amp; Discretion.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E15C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Essential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E15CD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341834"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Effective Team Working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0477A8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Essential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B52F5B" w:rsidRPr="000477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Self</w:t>
                  </w:r>
                  <w:r w:rsidR="004A2CC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</w:t>
                  </w:r>
                  <w:r w:rsidR="000477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anagement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7F3F3E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Essential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Commitment to personal d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evelopment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Essential  </w:t>
                  </w:r>
                </w:p>
              </w:tc>
            </w:tr>
            <w:tr w:rsidR="00074ABF" w:rsidRPr="00341834" w:rsidTr="007F3F3E">
              <w:trPr>
                <w:trHeight w:val="99"/>
              </w:trPr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F3E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7F3F3E" w:rsidRP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Ability to positively challenge.</w:t>
                  </w:r>
                </w:p>
                <w:p w:rsidR="007F3F3E" w:rsidRPr="007F3F3E" w:rsidRDefault="00E15CD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3F3E"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Planning &amp; Project Management</w:t>
                  </w:r>
                  <w:r w:rsidR="007F3F3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341834" w:rsidRDefault="00E15CD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Adaptability &amp; Embracing Change</w:t>
                  </w:r>
                </w:p>
                <w:p w:rsidR="009B554F" w:rsidRPr="00341834" w:rsidRDefault="009B554F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Flexibility 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79" w:rsidRDefault="007F3F3E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E15C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Essential   </w:t>
                  </w:r>
                </w:p>
                <w:p w:rsidR="007F3F3E" w:rsidRDefault="00485F7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Desirable</w:t>
                  </w:r>
                </w:p>
                <w:p w:rsidR="009B554F" w:rsidRDefault="00E15CD9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485F7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Desirable </w:t>
                  </w:r>
                </w:p>
                <w:p w:rsidR="009B554F" w:rsidRPr="00341834" w:rsidRDefault="009B554F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Essential</w:t>
                  </w:r>
                </w:p>
              </w:tc>
            </w:tr>
          </w:tbl>
          <w:p w:rsidR="00B52F5B" w:rsidRPr="00341834" w:rsidRDefault="00B52F5B" w:rsidP="00074A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3"/>
            </w:tblGrid>
            <w:tr w:rsidR="00341834" w:rsidRPr="00341834">
              <w:trPr>
                <w:trHeight w:val="1662"/>
              </w:trPr>
              <w:tc>
                <w:tcPr>
                  <w:tcW w:w="0" w:type="auto"/>
                </w:tcPr>
                <w:p w:rsidR="000477A8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3418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THT VALUES </w:t>
                  </w:r>
                </w:p>
                <w:p w:rsidR="009B554F" w:rsidRDefault="009B554F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2416CB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Trust: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180" w:hanging="180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Building relationships based on openness, honesty and </w:t>
                  </w:r>
                  <w:r w:rsidR="000477A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respect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Keeping our promises and working collaboratively </w:t>
                  </w:r>
                </w:p>
                <w:p w:rsidR="002416CB" w:rsidRDefault="002416CB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Innovation: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Motivated by creating a fairer world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Responding to society’s challenges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Never constrained by past ways of working </w:t>
                  </w:r>
                </w:p>
                <w:p w:rsidR="002416CB" w:rsidRDefault="002416CB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Impact: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Caring about the difference we make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18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Demonstrating accountability and acting responsibly </w:t>
                  </w:r>
                </w:p>
                <w:p w:rsidR="00341834" w:rsidRPr="00341834" w:rsidRDefault="00341834" w:rsidP="00885E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41834" w:rsidRPr="00074ABF" w:rsidRDefault="00074ABF" w:rsidP="00074ABF">
            <w:pPr>
              <w:rPr>
                <w:b/>
              </w:rPr>
            </w:pPr>
            <w:r w:rsidRPr="00074ABF">
              <w:rPr>
                <w:b/>
              </w:rPr>
              <w:lastRenderedPageBreak/>
              <w:t>Date:</w:t>
            </w:r>
          </w:p>
        </w:tc>
      </w:tr>
      <w:tr w:rsidR="00F830DC" w:rsidTr="00D33FC9">
        <w:tc>
          <w:tcPr>
            <w:tcW w:w="5211" w:type="dxa"/>
          </w:tcPr>
          <w:p w:rsidR="00F830DC" w:rsidRDefault="00074ABF" w:rsidP="00074ABF">
            <w:pPr>
              <w:rPr>
                <w:b/>
                <w:sz w:val="20"/>
                <w:szCs w:val="20"/>
              </w:rPr>
            </w:pPr>
            <w:r w:rsidRPr="00074ABF">
              <w:rPr>
                <w:b/>
                <w:sz w:val="20"/>
                <w:szCs w:val="20"/>
              </w:rPr>
              <w:lastRenderedPageBreak/>
              <w:t>Directorate</w:t>
            </w:r>
            <w:r w:rsidR="0008600D">
              <w:rPr>
                <w:b/>
                <w:sz w:val="20"/>
                <w:szCs w:val="20"/>
              </w:rPr>
              <w:t xml:space="preserve">: </w:t>
            </w:r>
            <w:r w:rsidR="0008600D" w:rsidRPr="00485F79">
              <w:rPr>
                <w:b/>
                <w:color w:val="00B050"/>
                <w:sz w:val="20"/>
                <w:szCs w:val="20"/>
              </w:rPr>
              <w:t>People and Governance</w:t>
            </w:r>
          </w:p>
          <w:p w:rsidR="003528C1" w:rsidRPr="00074ABF" w:rsidRDefault="003528C1" w:rsidP="00074ABF">
            <w:pPr>
              <w:rPr>
                <w:b/>
                <w:sz w:val="20"/>
                <w:szCs w:val="20"/>
              </w:rPr>
            </w:pPr>
          </w:p>
        </w:tc>
        <w:tc>
          <w:tcPr>
            <w:tcW w:w="5749" w:type="dxa"/>
          </w:tcPr>
          <w:p w:rsidR="0008600D" w:rsidRPr="00485F79" w:rsidRDefault="00074ABF" w:rsidP="00074ABF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074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Line Management:</w:t>
            </w:r>
            <w:r w:rsidR="0008600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08600D" w:rsidRPr="00485F79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The Trust Board </w:t>
            </w:r>
          </w:p>
          <w:p w:rsidR="00F830DC" w:rsidRPr="00074ABF" w:rsidRDefault="0008600D" w:rsidP="00074ABF">
            <w:pPr>
              <w:rPr>
                <w:b/>
              </w:rPr>
            </w:pPr>
            <w:r w:rsidRPr="00485F79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                                    QIP Chairperson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495"/>
      </w:tblGrid>
      <w:tr w:rsidR="00413FF5" w:rsidTr="00413FF5">
        <w:trPr>
          <w:trHeight w:val="397"/>
        </w:trPr>
        <w:tc>
          <w:tcPr>
            <w:tcW w:w="5211" w:type="dxa"/>
          </w:tcPr>
          <w:p w:rsidR="00413FF5" w:rsidRDefault="00413FF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5"/>
            </w:tblGrid>
            <w:tr w:rsidR="00C12348" w:rsidRPr="00C12348">
              <w:trPr>
                <w:trHeight w:val="247"/>
              </w:trPr>
              <w:tc>
                <w:tcPr>
                  <w:tcW w:w="0" w:type="auto"/>
                </w:tcPr>
                <w:p w:rsidR="00C12348" w:rsidRPr="00C12348" w:rsidRDefault="00C12348" w:rsidP="00C123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bookmarkStart w:id="0" w:name="_GoBack" w:colFirst="1" w:colLast="1"/>
                  <w:r w:rsidRPr="00C12348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Key Responsibilities / Tasks of Role: </w:t>
                  </w:r>
                </w:p>
                <w:p w:rsidR="003528C1" w:rsidRDefault="003528C1" w:rsidP="003528C1">
                  <w:pPr>
                    <w:pStyle w:val="Default"/>
                    <w:rPr>
                      <w:rFonts w:cstheme="minorBidi"/>
                      <w:color w:val="auto"/>
                    </w:rPr>
                  </w:pPr>
                </w:p>
                <w:p w:rsidR="003528C1" w:rsidRDefault="000A4874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Represent</w:t>
                  </w:r>
                  <w:r w:rsidR="00DA0A30">
                    <w:rPr>
                      <w:sz w:val="20"/>
                      <w:szCs w:val="20"/>
                    </w:rPr>
                    <w:t xml:space="preserve"> a viewpoint that’s focused on the best interest of customers</w:t>
                  </w:r>
                  <w:r>
                    <w:rPr>
                      <w:sz w:val="20"/>
                      <w:szCs w:val="20"/>
                    </w:rPr>
                    <w:t xml:space="preserve"> even when in conflict of your own opinion</w:t>
                  </w:r>
                  <w:r w:rsidR="00DA0A30">
                    <w:rPr>
                      <w:sz w:val="20"/>
                      <w:szCs w:val="20"/>
                    </w:rPr>
                    <w:t>.</w:t>
                  </w:r>
                </w:p>
                <w:p w:rsidR="00885EC7" w:rsidRPr="00885EC7" w:rsidRDefault="00885EC7" w:rsidP="00885EC7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Scrutinise THT processes and b</w:t>
                  </w:r>
                  <w:r>
                    <w:rPr>
                      <w:sz w:val="20"/>
                      <w:szCs w:val="20"/>
                    </w:rPr>
                    <w:t xml:space="preserve">e prepaid to challenge THT </w:t>
                  </w:r>
                  <w:r>
                    <w:rPr>
                      <w:sz w:val="20"/>
                      <w:szCs w:val="20"/>
                    </w:rPr>
                    <w:t>by making</w:t>
                  </w:r>
                  <w:r w:rsidRPr="00885EC7">
                    <w:rPr>
                      <w:sz w:val="20"/>
                      <w:szCs w:val="20"/>
                    </w:rPr>
                    <w:t xml:space="preserve"> recommendations for </w:t>
                  </w:r>
                  <w:r>
                    <w:rPr>
                      <w:sz w:val="20"/>
                      <w:szCs w:val="20"/>
                    </w:rPr>
                    <w:t xml:space="preserve">service </w:t>
                  </w:r>
                  <w:r w:rsidRPr="00885EC7">
                    <w:rPr>
                      <w:sz w:val="20"/>
                      <w:szCs w:val="20"/>
                    </w:rPr>
                    <w:t>improvement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DA0A30" w:rsidRDefault="00DA0A30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Have an interest in the wider community and the things that affect people in Trafford.</w:t>
                  </w:r>
                </w:p>
                <w:p w:rsidR="00DA0A30" w:rsidRDefault="00DA0A30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Experience of receiving services from THT as a resident of the Trust.</w:t>
                  </w:r>
                </w:p>
                <w:p w:rsidR="003528C1" w:rsidRDefault="003528C1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DA0A30">
                    <w:rPr>
                      <w:sz w:val="20"/>
                      <w:szCs w:val="20"/>
                    </w:rPr>
                    <w:t xml:space="preserve">Liaise with </w:t>
                  </w:r>
                  <w:r w:rsidR="00DA0A30">
                    <w:rPr>
                      <w:sz w:val="20"/>
                      <w:szCs w:val="20"/>
                    </w:rPr>
                    <w:t xml:space="preserve">THT Board, senior managers staff, contractors, internal and external partners customer, tenants and Leaseholders </w:t>
                  </w:r>
                </w:p>
                <w:p w:rsidR="00DA0A30" w:rsidRPr="00DA0A30" w:rsidRDefault="00DA0A30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Seek out the opinions of the wider community</w:t>
                  </w:r>
                  <w:r w:rsidR="009B554F">
                    <w:rPr>
                      <w:sz w:val="20"/>
                      <w:szCs w:val="20"/>
                    </w:rPr>
                    <w:t xml:space="preserve"> through consultation.</w:t>
                  </w:r>
                </w:p>
                <w:p w:rsidR="003528C1" w:rsidRDefault="003528C1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Be proactive and solution conscious. </w:t>
                  </w:r>
                </w:p>
                <w:p w:rsidR="003528C1" w:rsidRDefault="009B554F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in conjunction with the QIP terms of reference and code of conduct expectancies</w:t>
                  </w:r>
                  <w:r w:rsidR="003528C1">
                    <w:rPr>
                      <w:sz w:val="20"/>
                      <w:szCs w:val="20"/>
                    </w:rPr>
                    <w:t xml:space="preserve">. </w:t>
                  </w:r>
                </w:p>
                <w:p w:rsidR="003528C1" w:rsidRDefault="003528C1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Proactively work with </w:t>
                  </w:r>
                  <w:r w:rsidR="009B554F">
                    <w:rPr>
                      <w:sz w:val="20"/>
                      <w:szCs w:val="20"/>
                    </w:rPr>
                    <w:t>THT</w:t>
                  </w:r>
                  <w:r>
                    <w:rPr>
                      <w:sz w:val="20"/>
                      <w:szCs w:val="20"/>
                    </w:rPr>
                    <w:t xml:space="preserve"> to understand their business plans. </w:t>
                  </w:r>
                </w:p>
                <w:p w:rsidR="003528C1" w:rsidRDefault="003528C1" w:rsidP="00DA0A30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Production, submission and analysis of performance information </w:t>
                  </w:r>
                </w:p>
                <w:p w:rsidR="00C12348" w:rsidRDefault="001E323D" w:rsidP="009B554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Respect the role of the Trusts Board.</w:t>
                  </w:r>
                </w:p>
                <w:p w:rsidR="001E323D" w:rsidRDefault="001E323D" w:rsidP="009B554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Show commitment to training and personal development.</w:t>
                  </w:r>
                </w:p>
                <w:p w:rsidR="001E323D" w:rsidRDefault="001E323D" w:rsidP="009B554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Proactively challeng</w:t>
                  </w:r>
                  <w:r w:rsidR="000A4874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 xml:space="preserve"> and </w:t>
                  </w:r>
                  <w:r w:rsidR="000A4874">
                    <w:rPr>
                      <w:sz w:val="20"/>
                      <w:szCs w:val="20"/>
                    </w:rPr>
                    <w:t>be able to compromise</w:t>
                  </w:r>
                </w:p>
                <w:p w:rsidR="001E323D" w:rsidRDefault="001E323D" w:rsidP="001E323D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952109">
                    <w:rPr>
                      <w:sz w:val="20"/>
                      <w:szCs w:val="20"/>
                    </w:rPr>
                    <w:t>Contribute to the development of</w:t>
                  </w:r>
                  <w:r>
                    <w:rPr>
                      <w:sz w:val="20"/>
                      <w:szCs w:val="20"/>
                    </w:rPr>
                    <w:t xml:space="preserve"> scrutiny reviews by preparing for meetings and having a working awareness of the data and documents provided.</w:t>
                  </w:r>
                </w:p>
                <w:p w:rsidR="001E323D" w:rsidRPr="001E323D" w:rsidRDefault="001E323D" w:rsidP="001E323D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1E323D">
                    <w:rPr>
                      <w:sz w:val="20"/>
                      <w:szCs w:val="20"/>
                    </w:rPr>
                    <w:t xml:space="preserve">Develop strong internal working relationships. </w:t>
                  </w:r>
                </w:p>
                <w:p w:rsidR="001E323D" w:rsidRDefault="001E323D" w:rsidP="009B554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Provide feedback to other members of QIP when appropriate.</w:t>
                  </w:r>
                </w:p>
                <w:p w:rsidR="001E323D" w:rsidRDefault="001E323D" w:rsidP="009B554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Able to read and question basic information.</w:t>
                  </w:r>
                </w:p>
                <w:p w:rsidR="000A4874" w:rsidRDefault="000A4874" w:rsidP="000A487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 able to review data and issues to make balanced fair judgement.</w:t>
                  </w:r>
                </w:p>
                <w:p w:rsidR="000A4874" w:rsidRDefault="000A4874" w:rsidP="000A487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Respect Peoples differences.</w:t>
                  </w:r>
                </w:p>
                <w:p w:rsidR="000A4874" w:rsidRDefault="000A4874" w:rsidP="000A487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Display high standards of behaviour and integrity </w:t>
                  </w:r>
                </w:p>
                <w:p w:rsidR="000A4874" w:rsidRDefault="000A4874" w:rsidP="000A487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Declares any interest and is prepared to be excluded when areas of conflict of interest occur.</w:t>
                  </w:r>
                </w:p>
                <w:p w:rsidR="000A4874" w:rsidRPr="00C12348" w:rsidRDefault="000A4874" w:rsidP="000A487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Commit to the Induction process</w:t>
                  </w:r>
                </w:p>
              </w:tc>
            </w:tr>
            <w:bookmarkEnd w:id="0"/>
          </w:tbl>
          <w:p w:rsidR="00413FF5" w:rsidRDefault="00413FF5"/>
          <w:p w:rsidR="000A4874" w:rsidRDefault="000A4874"/>
        </w:tc>
        <w:tc>
          <w:tcPr>
            <w:tcW w:w="5495" w:type="dxa"/>
          </w:tcPr>
          <w:p w:rsidR="00C12348" w:rsidRDefault="00C12348" w:rsidP="00C1234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12348" w:rsidRDefault="00C12348" w:rsidP="00C1234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Performance Measures: </w:t>
            </w:r>
          </w:p>
          <w:p w:rsidR="003528C1" w:rsidRPr="0008600D" w:rsidRDefault="003528C1" w:rsidP="003528C1">
            <w:pPr>
              <w:pStyle w:val="Default"/>
              <w:rPr>
                <w:rFonts w:cstheme="minorBidi"/>
                <w:color w:val="FF0000"/>
              </w:rPr>
            </w:pPr>
          </w:p>
          <w:p w:rsidR="003528C1" w:rsidRPr="0008600D" w:rsidRDefault="0008600D" w:rsidP="00DA0A3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8600D">
              <w:rPr>
                <w:color w:val="auto"/>
                <w:sz w:val="20"/>
                <w:szCs w:val="20"/>
              </w:rPr>
              <w:t>Successful completion of application and interview process.</w:t>
            </w:r>
          </w:p>
          <w:p w:rsidR="003528C1" w:rsidRPr="0008600D" w:rsidRDefault="0008600D" w:rsidP="00DA0A3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08600D">
              <w:rPr>
                <w:color w:val="auto"/>
                <w:sz w:val="20"/>
                <w:szCs w:val="20"/>
              </w:rPr>
              <w:t>Successful completion of mandatory Induction Processes and mandatory training</w:t>
            </w:r>
            <w:r>
              <w:rPr>
                <w:color w:val="auto"/>
                <w:sz w:val="20"/>
                <w:szCs w:val="20"/>
              </w:rPr>
              <w:t xml:space="preserve"> module.</w:t>
            </w:r>
            <w:r w:rsidRPr="0008600D">
              <w:rPr>
                <w:color w:val="auto"/>
                <w:sz w:val="20"/>
                <w:szCs w:val="20"/>
              </w:rPr>
              <w:t xml:space="preserve"> </w:t>
            </w:r>
          </w:p>
          <w:p w:rsidR="003528C1" w:rsidRPr="00485F79" w:rsidRDefault="0008600D" w:rsidP="00DA0A3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485F79">
              <w:rPr>
                <w:color w:val="auto"/>
                <w:sz w:val="20"/>
                <w:szCs w:val="20"/>
              </w:rPr>
              <w:t xml:space="preserve">3 month review </w:t>
            </w:r>
          </w:p>
          <w:p w:rsidR="0008600D" w:rsidRPr="00485F79" w:rsidRDefault="0008600D" w:rsidP="0008600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485F79">
              <w:rPr>
                <w:color w:val="auto"/>
                <w:sz w:val="20"/>
                <w:szCs w:val="20"/>
              </w:rPr>
              <w:t xml:space="preserve">6 month review </w:t>
            </w:r>
          </w:p>
          <w:p w:rsidR="00485F79" w:rsidRPr="00485F79" w:rsidRDefault="00485F79" w:rsidP="0008600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485F79">
              <w:rPr>
                <w:color w:val="auto"/>
                <w:sz w:val="20"/>
                <w:szCs w:val="20"/>
              </w:rPr>
              <w:t>360 feedback</w:t>
            </w:r>
          </w:p>
          <w:p w:rsidR="00485F79" w:rsidRPr="00485F79" w:rsidRDefault="00485F79" w:rsidP="0008600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485F79">
              <w:rPr>
                <w:color w:val="auto"/>
                <w:sz w:val="20"/>
                <w:szCs w:val="20"/>
              </w:rPr>
              <w:t>Annual appraisal and skills audit</w:t>
            </w:r>
          </w:p>
          <w:p w:rsidR="003528C1" w:rsidRPr="00485F79" w:rsidRDefault="003528C1" w:rsidP="00DA0A3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485F79">
              <w:rPr>
                <w:color w:val="auto"/>
                <w:sz w:val="20"/>
                <w:szCs w:val="20"/>
              </w:rPr>
              <w:t xml:space="preserve">Delivery of </w:t>
            </w:r>
            <w:r w:rsidR="00485F79" w:rsidRPr="00485F79">
              <w:rPr>
                <w:color w:val="auto"/>
                <w:sz w:val="20"/>
                <w:szCs w:val="20"/>
              </w:rPr>
              <w:t>QIP</w:t>
            </w:r>
            <w:r w:rsidRPr="00485F79">
              <w:rPr>
                <w:color w:val="auto"/>
                <w:sz w:val="20"/>
                <w:szCs w:val="20"/>
              </w:rPr>
              <w:t xml:space="preserve"> Promises. </w:t>
            </w:r>
          </w:p>
          <w:p w:rsidR="00485F79" w:rsidRPr="00485F79" w:rsidRDefault="00485F79" w:rsidP="00DA0A3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485F79">
              <w:rPr>
                <w:color w:val="auto"/>
                <w:sz w:val="20"/>
                <w:szCs w:val="20"/>
              </w:rPr>
              <w:t>Commitment and contribution to scrutiny reviews</w:t>
            </w:r>
          </w:p>
          <w:p w:rsidR="00413FF5" w:rsidRDefault="00413FF5" w:rsidP="00413FF5">
            <w:pPr>
              <w:ind w:left="-250" w:firstLine="250"/>
            </w:pPr>
          </w:p>
        </w:tc>
      </w:tr>
      <w:tr w:rsidR="00413FF5" w:rsidTr="00413FF5">
        <w:tc>
          <w:tcPr>
            <w:tcW w:w="5211" w:type="dxa"/>
          </w:tcPr>
          <w:p w:rsidR="003528C1" w:rsidRDefault="003528C1" w:rsidP="003528C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Key Objectives (6 months) </w:t>
            </w:r>
          </w:p>
          <w:p w:rsidR="003528C1" w:rsidRDefault="000A4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agreed upon appointment</w:t>
            </w:r>
          </w:p>
          <w:p w:rsidR="000A4874" w:rsidRDefault="000A4874">
            <w:pPr>
              <w:rPr>
                <w:sz w:val="20"/>
                <w:szCs w:val="20"/>
              </w:rPr>
            </w:pPr>
          </w:p>
          <w:p w:rsidR="00485F79" w:rsidRDefault="00485F79"/>
        </w:tc>
        <w:tc>
          <w:tcPr>
            <w:tcW w:w="5495" w:type="dxa"/>
          </w:tcPr>
          <w:p w:rsidR="003528C1" w:rsidRDefault="003528C1" w:rsidP="003528C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Key Personal Development (6 months) </w:t>
            </w:r>
          </w:p>
          <w:p w:rsidR="00413FF5" w:rsidRDefault="003528C1" w:rsidP="003528C1">
            <w:r>
              <w:rPr>
                <w:sz w:val="20"/>
                <w:szCs w:val="20"/>
              </w:rPr>
              <w:t xml:space="preserve">To be agreed upon appointment </w:t>
            </w:r>
          </w:p>
        </w:tc>
      </w:tr>
    </w:tbl>
    <w:p w:rsidR="00624E18" w:rsidRDefault="00074ABF">
      <w:r>
        <w:br w:type="textWrapping" w:clear="all"/>
      </w:r>
    </w:p>
    <w:sectPr w:rsidR="00624E18" w:rsidSect="00485F79">
      <w:headerReference w:type="default" r:id="rId8"/>
      <w:footerReference w:type="default" r:id="rId9"/>
      <w:pgSz w:w="11906" w:h="16838"/>
      <w:pgMar w:top="442" w:right="282" w:bottom="127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76" w:rsidRDefault="003B1276" w:rsidP="003B1276">
      <w:pPr>
        <w:spacing w:after="0" w:line="240" w:lineRule="auto"/>
      </w:pPr>
      <w:r>
        <w:separator/>
      </w:r>
    </w:p>
  </w:endnote>
  <w:endnote w:type="continuationSeparator" w:id="0">
    <w:p w:rsidR="003B1276" w:rsidRDefault="003B1276" w:rsidP="003B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13" w:rsidRDefault="00B02513">
    <w:pPr>
      <w:pStyle w:val="Footer"/>
    </w:pPr>
    <w:r>
      <w:t>Mark Karlisle QIP Role specification and role description Sept 2015 vs1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76" w:rsidRDefault="003B1276" w:rsidP="003B1276">
      <w:pPr>
        <w:spacing w:after="0" w:line="240" w:lineRule="auto"/>
      </w:pPr>
      <w:r>
        <w:separator/>
      </w:r>
    </w:p>
  </w:footnote>
  <w:footnote w:type="continuationSeparator" w:id="0">
    <w:p w:rsidR="003B1276" w:rsidRDefault="003B1276" w:rsidP="003B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76" w:rsidRDefault="00485F79" w:rsidP="003B1276">
    <w:pPr>
      <w:pStyle w:val="Default"/>
    </w:pPr>
    <w:r>
      <w:rPr>
        <w:b/>
        <w:bCs/>
        <w:sz w:val="22"/>
        <w:szCs w:val="22"/>
      </w:rPr>
      <w:t>TH</w:t>
    </w:r>
    <w:r w:rsidR="003B1276">
      <w:rPr>
        <w:b/>
        <w:bCs/>
        <w:sz w:val="22"/>
        <w:szCs w:val="22"/>
      </w:rPr>
      <w:t>T ROLE PROFILE</w:t>
    </w:r>
    <w:r>
      <w:rPr>
        <w:b/>
        <w:bCs/>
        <w:sz w:val="22"/>
        <w:szCs w:val="22"/>
      </w:rPr>
      <w:t xml:space="preserve"> and SPECIFICATION</w:t>
    </w:r>
    <w:r w:rsidR="003B1276">
      <w:rPr>
        <w:b/>
        <w:bCs/>
        <w:sz w:val="22"/>
        <w:szCs w:val="22"/>
      </w:rPr>
      <w:t xml:space="preserve"> – QUALITY AND INSIGHT PANEL    </w:t>
    </w:r>
    <w:r w:rsidR="003B1276">
      <w:rPr>
        <w:rFonts w:cs="Arial"/>
        <w:noProof/>
        <w:lang w:eastAsia="en-GB"/>
      </w:rPr>
      <w:t xml:space="preserve">           </w:t>
    </w:r>
    <w:r w:rsidR="00D7263C">
      <w:rPr>
        <w:rFonts w:cs="Arial"/>
        <w:noProof/>
        <w:lang w:eastAsia="en-GB"/>
      </w:rPr>
      <w:t xml:space="preserve">                                  </w:t>
    </w:r>
    <w:r w:rsidR="003B1276">
      <w:rPr>
        <w:rFonts w:cs="Arial"/>
        <w:noProof/>
        <w:lang w:eastAsia="en-GB"/>
      </w:rPr>
      <w:t xml:space="preserve">         </w:t>
    </w:r>
    <w:r w:rsidR="003B1276">
      <w:rPr>
        <w:rFonts w:cs="Arial"/>
        <w:noProof/>
        <w:lang w:eastAsia="en-GB"/>
      </w:rPr>
      <w:drawing>
        <wp:inline distT="0" distB="0" distL="0" distR="0" wp14:anchorId="28C1D726" wp14:editId="2F678B12">
          <wp:extent cx="853440" cy="54102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41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4F"/>
    <w:multiLevelType w:val="hybridMultilevel"/>
    <w:tmpl w:val="2156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949"/>
    <w:multiLevelType w:val="hybridMultilevel"/>
    <w:tmpl w:val="CCDE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6C9F"/>
    <w:multiLevelType w:val="hybridMultilevel"/>
    <w:tmpl w:val="D99E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6"/>
    <w:rsid w:val="000477A8"/>
    <w:rsid w:val="00074ABF"/>
    <w:rsid w:val="0008600D"/>
    <w:rsid w:val="000A4874"/>
    <w:rsid w:val="0019237C"/>
    <w:rsid w:val="001E323D"/>
    <w:rsid w:val="002416CB"/>
    <w:rsid w:val="00293193"/>
    <w:rsid w:val="00341834"/>
    <w:rsid w:val="003528C1"/>
    <w:rsid w:val="003B1276"/>
    <w:rsid w:val="00413FF5"/>
    <w:rsid w:val="0046246D"/>
    <w:rsid w:val="00485F79"/>
    <w:rsid w:val="004A2CC5"/>
    <w:rsid w:val="004F516D"/>
    <w:rsid w:val="00596595"/>
    <w:rsid w:val="00624E18"/>
    <w:rsid w:val="006740F0"/>
    <w:rsid w:val="007B4DA4"/>
    <w:rsid w:val="007F3F3E"/>
    <w:rsid w:val="00885EC7"/>
    <w:rsid w:val="008C52AB"/>
    <w:rsid w:val="00952109"/>
    <w:rsid w:val="009B554F"/>
    <w:rsid w:val="00A85559"/>
    <w:rsid w:val="00B02513"/>
    <w:rsid w:val="00B52F5B"/>
    <w:rsid w:val="00C12348"/>
    <w:rsid w:val="00CC75E2"/>
    <w:rsid w:val="00CD6D0A"/>
    <w:rsid w:val="00CF1CFC"/>
    <w:rsid w:val="00D33FC9"/>
    <w:rsid w:val="00D7263C"/>
    <w:rsid w:val="00DA0A30"/>
    <w:rsid w:val="00E15CD9"/>
    <w:rsid w:val="00F33B72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76"/>
  </w:style>
  <w:style w:type="paragraph" w:styleId="Footer">
    <w:name w:val="footer"/>
    <w:basedOn w:val="Normal"/>
    <w:link w:val="FooterChar"/>
    <w:uiPriority w:val="99"/>
    <w:unhideWhenUsed/>
    <w:rsid w:val="003B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76"/>
  </w:style>
  <w:style w:type="paragraph" w:styleId="BalloonText">
    <w:name w:val="Balloon Text"/>
    <w:basedOn w:val="Normal"/>
    <w:link w:val="BalloonTextChar"/>
    <w:uiPriority w:val="99"/>
    <w:semiHidden/>
    <w:unhideWhenUsed/>
    <w:rsid w:val="003B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46D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B52F5B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val="en-US" w:eastAsia="ja-JP"/>
    </w:rPr>
    <w:tblPr>
      <w:tblStyleRow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cPr>
      <w:shd w:val="clear" w:color="auto" w:fill="073763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76"/>
  </w:style>
  <w:style w:type="paragraph" w:styleId="Footer">
    <w:name w:val="footer"/>
    <w:basedOn w:val="Normal"/>
    <w:link w:val="FooterChar"/>
    <w:uiPriority w:val="99"/>
    <w:unhideWhenUsed/>
    <w:rsid w:val="003B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76"/>
  </w:style>
  <w:style w:type="paragraph" w:styleId="BalloonText">
    <w:name w:val="Balloon Text"/>
    <w:basedOn w:val="Normal"/>
    <w:link w:val="BalloonTextChar"/>
    <w:uiPriority w:val="99"/>
    <w:semiHidden/>
    <w:unhideWhenUsed/>
    <w:rsid w:val="003B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46D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B52F5B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val="en-US" w:eastAsia="ja-JP"/>
    </w:rPr>
    <w:tblPr>
      <w:tblStyleRow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cPr>
      <w:shd w:val="clear" w:color="auto" w:fill="073763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22</cp:revision>
  <dcterms:created xsi:type="dcterms:W3CDTF">2015-09-18T08:27:00Z</dcterms:created>
  <dcterms:modified xsi:type="dcterms:W3CDTF">2015-09-22T11:32:00Z</dcterms:modified>
</cp:coreProperties>
</file>