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262F" w:rsidRDefault="0041262F" w:rsidP="008F254C">
      <w:pPr>
        <w:pStyle w:val="Heading1"/>
        <w:numPr>
          <w:ilvl w:val="0"/>
          <w:numId w:val="0"/>
        </w:numPr>
      </w:pPr>
      <w:bookmarkStart w:id="0" w:name="_Toc371415484"/>
      <w:r>
        <w:t>Priority Assessment</w:t>
      </w:r>
      <w:bookmarkEnd w:id="0"/>
    </w:p>
    <w:p w:rsidR="00110F0F" w:rsidRDefault="00110F0F" w:rsidP="0041262F">
      <w:r>
        <w:t xml:space="preserve">Homes are allocated on a waiting list. Those who have the earliest date are allocated first. </w:t>
      </w:r>
    </w:p>
    <w:p w:rsidR="00110F0F" w:rsidRDefault="0041262F" w:rsidP="0041262F">
      <w:r>
        <w:t xml:space="preserve">Applications </w:t>
      </w:r>
      <w:r w:rsidR="00110F0F">
        <w:t xml:space="preserve">are </w:t>
      </w:r>
      <w:r>
        <w:t xml:space="preserve">assessed by date of application </w:t>
      </w:r>
      <w:r w:rsidR="008F254C">
        <w:t>and time is added depending on the customer’s priority</w:t>
      </w:r>
      <w:r>
        <w:t xml:space="preserve">. </w:t>
      </w:r>
    </w:p>
    <w:p w:rsidR="008F254C" w:rsidRDefault="0041262F" w:rsidP="0041262F">
      <w:r w:rsidRPr="00C729C3">
        <w:t xml:space="preserve">Only one additional date </w:t>
      </w:r>
      <w:r>
        <w:t>enhancement will be awarded which will be based on the applicant</w:t>
      </w:r>
      <w:r w:rsidR="008F254C">
        <w:t>’</w:t>
      </w:r>
      <w:r>
        <w:t>s highest level of need.</w:t>
      </w:r>
    </w:p>
    <w:p w:rsidR="009E4138" w:rsidRPr="002B58D2" w:rsidRDefault="009E4138" w:rsidP="0041262F"/>
    <w:tbl>
      <w:tblPr>
        <w:tblStyle w:val="TableGrid"/>
        <w:tblpPr w:leftFromText="180" w:rightFromText="180" w:vertAnchor="text" w:horzAnchor="margin" w:tblpY="10"/>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7087"/>
        <w:gridCol w:w="7087"/>
      </w:tblGrid>
      <w:tr w:rsidR="0041262F" w:rsidTr="004E4B5B">
        <w:tc>
          <w:tcPr>
            <w:tcW w:w="7087" w:type="dxa"/>
          </w:tcPr>
          <w:p w:rsidR="0041262F" w:rsidRDefault="0041262F" w:rsidP="004E4B5B">
            <w:pPr>
              <w:jc w:val="center"/>
              <w:rPr>
                <w:b/>
                <w:color w:val="000000"/>
                <w:sz w:val="23"/>
                <w:szCs w:val="23"/>
              </w:rPr>
            </w:pPr>
            <w:r>
              <w:rPr>
                <w:b/>
                <w:color w:val="000000"/>
                <w:sz w:val="23"/>
                <w:szCs w:val="23"/>
              </w:rPr>
              <w:t>2 years added</w:t>
            </w:r>
          </w:p>
          <w:p w:rsidR="0041262F" w:rsidRDefault="0041262F" w:rsidP="004E4B5B">
            <w:pPr>
              <w:pStyle w:val="ListParagraph"/>
              <w:numPr>
                <w:ilvl w:val="0"/>
                <w:numId w:val="2"/>
              </w:numPr>
              <w:rPr>
                <w:color w:val="000000"/>
                <w:sz w:val="23"/>
                <w:szCs w:val="23"/>
              </w:rPr>
            </w:pPr>
            <w:r>
              <w:rPr>
                <w:color w:val="000000"/>
                <w:sz w:val="23"/>
                <w:szCs w:val="23"/>
              </w:rPr>
              <w:t>Statutory homeless;</w:t>
            </w:r>
          </w:p>
          <w:p w:rsidR="0041262F" w:rsidRDefault="0041262F" w:rsidP="004E4B5B">
            <w:pPr>
              <w:pStyle w:val="ListParagraph"/>
              <w:numPr>
                <w:ilvl w:val="0"/>
                <w:numId w:val="2"/>
              </w:numPr>
              <w:rPr>
                <w:color w:val="000000"/>
                <w:sz w:val="23"/>
                <w:szCs w:val="23"/>
              </w:rPr>
            </w:pPr>
            <w:r>
              <w:rPr>
                <w:color w:val="000000"/>
                <w:sz w:val="23"/>
                <w:szCs w:val="23"/>
              </w:rPr>
              <w:t>Under occupation;</w:t>
            </w:r>
          </w:p>
          <w:p w:rsidR="0041262F" w:rsidRDefault="0041262F" w:rsidP="004E4B5B">
            <w:pPr>
              <w:pStyle w:val="ListParagraph"/>
              <w:numPr>
                <w:ilvl w:val="0"/>
                <w:numId w:val="2"/>
              </w:numPr>
              <w:rPr>
                <w:color w:val="000000"/>
                <w:sz w:val="23"/>
                <w:szCs w:val="23"/>
              </w:rPr>
            </w:pPr>
            <w:r>
              <w:rPr>
                <w:color w:val="000000"/>
                <w:sz w:val="23"/>
                <w:szCs w:val="23"/>
              </w:rPr>
              <w:t>Overcrowding (2+bedrooms);</w:t>
            </w:r>
          </w:p>
          <w:p w:rsidR="0041262F" w:rsidRDefault="0041262F" w:rsidP="004E4B5B">
            <w:pPr>
              <w:pStyle w:val="ListParagraph"/>
              <w:numPr>
                <w:ilvl w:val="0"/>
                <w:numId w:val="2"/>
              </w:numPr>
              <w:rPr>
                <w:color w:val="000000"/>
                <w:sz w:val="23"/>
                <w:szCs w:val="23"/>
              </w:rPr>
            </w:pPr>
            <w:r>
              <w:rPr>
                <w:color w:val="000000"/>
                <w:sz w:val="23"/>
                <w:szCs w:val="23"/>
              </w:rPr>
              <w:t>Regeneration;</w:t>
            </w:r>
          </w:p>
          <w:p w:rsidR="0041262F" w:rsidRDefault="0041262F" w:rsidP="004E4B5B">
            <w:pPr>
              <w:pStyle w:val="ListParagraph"/>
              <w:numPr>
                <w:ilvl w:val="0"/>
                <w:numId w:val="2"/>
              </w:numPr>
              <w:rPr>
                <w:color w:val="000000"/>
                <w:sz w:val="23"/>
                <w:szCs w:val="23"/>
              </w:rPr>
            </w:pPr>
            <w:r>
              <w:rPr>
                <w:color w:val="000000"/>
                <w:sz w:val="23"/>
                <w:szCs w:val="23"/>
              </w:rPr>
              <w:t>Life at risk - serious anti-social behaviour, domestic abuse, hate crime (supported by Police);</w:t>
            </w:r>
          </w:p>
          <w:p w:rsidR="0041262F" w:rsidRDefault="0041262F" w:rsidP="004E4B5B">
            <w:pPr>
              <w:pStyle w:val="ListParagraph"/>
              <w:numPr>
                <w:ilvl w:val="0"/>
                <w:numId w:val="2"/>
              </w:numPr>
              <w:rPr>
                <w:color w:val="000000"/>
                <w:sz w:val="23"/>
                <w:szCs w:val="23"/>
              </w:rPr>
            </w:pPr>
            <w:r>
              <w:rPr>
                <w:color w:val="000000"/>
                <w:sz w:val="23"/>
                <w:szCs w:val="23"/>
              </w:rPr>
              <w:t>High medical</w:t>
            </w:r>
            <w:r w:rsidRPr="009C6F06">
              <w:rPr>
                <w:color w:val="000000"/>
                <w:sz w:val="16"/>
                <w:szCs w:val="23"/>
              </w:rPr>
              <w:t>1</w:t>
            </w:r>
            <w:r>
              <w:rPr>
                <w:color w:val="000000"/>
                <w:sz w:val="23"/>
                <w:szCs w:val="23"/>
              </w:rPr>
              <w:t>;</w:t>
            </w:r>
          </w:p>
          <w:p w:rsidR="0041262F" w:rsidRDefault="0041262F" w:rsidP="004E4B5B">
            <w:pPr>
              <w:pStyle w:val="ListParagraph"/>
              <w:numPr>
                <w:ilvl w:val="0"/>
                <w:numId w:val="2"/>
              </w:numPr>
              <w:rPr>
                <w:color w:val="000000"/>
                <w:sz w:val="23"/>
                <w:szCs w:val="23"/>
              </w:rPr>
            </w:pPr>
            <w:r>
              <w:rPr>
                <w:color w:val="000000"/>
                <w:sz w:val="23"/>
                <w:szCs w:val="23"/>
              </w:rPr>
              <w:t>Armed Forces</w:t>
            </w:r>
            <w:r w:rsidRPr="009C6F06">
              <w:rPr>
                <w:color w:val="000000"/>
                <w:sz w:val="16"/>
                <w:szCs w:val="23"/>
              </w:rPr>
              <w:t>2</w:t>
            </w:r>
            <w:r>
              <w:rPr>
                <w:color w:val="000000"/>
                <w:sz w:val="23"/>
                <w:szCs w:val="23"/>
              </w:rPr>
              <w:t>.</w:t>
            </w:r>
          </w:p>
          <w:p w:rsidR="0041262F" w:rsidRPr="00EE4E9A" w:rsidRDefault="0041262F" w:rsidP="004E4B5B">
            <w:pPr>
              <w:rPr>
                <w:color w:val="000000"/>
                <w:sz w:val="23"/>
                <w:szCs w:val="23"/>
              </w:rPr>
            </w:pPr>
            <w:r>
              <w:rPr>
                <w:color w:val="000000"/>
                <w:sz w:val="23"/>
                <w:szCs w:val="23"/>
              </w:rPr>
              <w:t>1 reasonable offer before having one year removed, then two offers remain in the 1 year added category</w:t>
            </w:r>
          </w:p>
        </w:tc>
        <w:tc>
          <w:tcPr>
            <w:tcW w:w="7087" w:type="dxa"/>
          </w:tcPr>
          <w:p w:rsidR="0041262F" w:rsidRDefault="0041262F" w:rsidP="004E4B5B">
            <w:pPr>
              <w:jc w:val="center"/>
              <w:rPr>
                <w:b/>
                <w:color w:val="000000"/>
                <w:sz w:val="23"/>
                <w:szCs w:val="23"/>
              </w:rPr>
            </w:pPr>
            <w:r>
              <w:rPr>
                <w:b/>
                <w:color w:val="000000"/>
                <w:sz w:val="23"/>
                <w:szCs w:val="23"/>
              </w:rPr>
              <w:t>1 year added</w:t>
            </w:r>
          </w:p>
          <w:p w:rsidR="0041262F" w:rsidRDefault="0041262F" w:rsidP="004E4B5B">
            <w:pPr>
              <w:pStyle w:val="ListParagraph"/>
              <w:numPr>
                <w:ilvl w:val="0"/>
                <w:numId w:val="3"/>
              </w:numPr>
              <w:rPr>
                <w:color w:val="000000"/>
                <w:sz w:val="23"/>
                <w:szCs w:val="23"/>
              </w:rPr>
            </w:pPr>
            <w:r>
              <w:rPr>
                <w:color w:val="000000"/>
                <w:sz w:val="23"/>
                <w:szCs w:val="23"/>
              </w:rPr>
              <w:t>Unsatisfactory housing conditions</w:t>
            </w:r>
            <w:r w:rsidRPr="009C6F06">
              <w:rPr>
                <w:color w:val="000000"/>
                <w:sz w:val="16"/>
                <w:szCs w:val="23"/>
              </w:rPr>
              <w:t>3</w:t>
            </w:r>
            <w:r>
              <w:rPr>
                <w:color w:val="000000"/>
                <w:sz w:val="23"/>
                <w:szCs w:val="23"/>
              </w:rPr>
              <w:t>;</w:t>
            </w:r>
          </w:p>
          <w:p w:rsidR="0041262F" w:rsidRDefault="0041262F" w:rsidP="004E4B5B">
            <w:pPr>
              <w:pStyle w:val="ListParagraph"/>
              <w:numPr>
                <w:ilvl w:val="0"/>
                <w:numId w:val="3"/>
              </w:numPr>
              <w:rPr>
                <w:color w:val="000000"/>
                <w:sz w:val="23"/>
                <w:szCs w:val="23"/>
              </w:rPr>
            </w:pPr>
            <w:r>
              <w:rPr>
                <w:color w:val="000000"/>
                <w:sz w:val="23"/>
                <w:szCs w:val="23"/>
              </w:rPr>
              <w:t>Welfare / hardship</w:t>
            </w:r>
            <w:r w:rsidRPr="009C6F06">
              <w:rPr>
                <w:color w:val="000000"/>
                <w:sz w:val="16"/>
                <w:szCs w:val="23"/>
              </w:rPr>
              <w:t>4</w:t>
            </w:r>
            <w:r>
              <w:rPr>
                <w:color w:val="000000"/>
                <w:sz w:val="23"/>
                <w:szCs w:val="23"/>
              </w:rPr>
              <w:t>;</w:t>
            </w:r>
          </w:p>
          <w:p w:rsidR="0041262F" w:rsidRPr="00436D9A" w:rsidRDefault="0041262F" w:rsidP="004E4B5B">
            <w:pPr>
              <w:pStyle w:val="ListParagraph"/>
              <w:numPr>
                <w:ilvl w:val="0"/>
                <w:numId w:val="3"/>
              </w:numPr>
              <w:rPr>
                <w:color w:val="000000"/>
                <w:sz w:val="23"/>
                <w:szCs w:val="23"/>
              </w:rPr>
            </w:pPr>
            <w:r>
              <w:rPr>
                <w:color w:val="000000"/>
                <w:sz w:val="23"/>
                <w:szCs w:val="23"/>
              </w:rPr>
              <w:t>Overcrowding (1 bedroom);</w:t>
            </w:r>
          </w:p>
          <w:p w:rsidR="0041262F" w:rsidRDefault="0041262F" w:rsidP="004E4B5B">
            <w:pPr>
              <w:pStyle w:val="ListParagraph"/>
              <w:numPr>
                <w:ilvl w:val="0"/>
                <w:numId w:val="3"/>
              </w:numPr>
              <w:rPr>
                <w:color w:val="000000"/>
                <w:sz w:val="23"/>
                <w:szCs w:val="23"/>
              </w:rPr>
            </w:pPr>
            <w:r>
              <w:rPr>
                <w:color w:val="000000"/>
                <w:sz w:val="23"/>
                <w:szCs w:val="23"/>
              </w:rPr>
              <w:t>Relationship breakdown</w:t>
            </w:r>
            <w:r w:rsidRPr="009C6F06">
              <w:rPr>
                <w:color w:val="000000"/>
                <w:sz w:val="16"/>
                <w:szCs w:val="23"/>
              </w:rPr>
              <w:t>5</w:t>
            </w:r>
            <w:r>
              <w:rPr>
                <w:color w:val="000000"/>
                <w:sz w:val="23"/>
                <w:szCs w:val="23"/>
              </w:rPr>
              <w:t>;</w:t>
            </w:r>
          </w:p>
          <w:p w:rsidR="0041262F" w:rsidRDefault="0041262F" w:rsidP="004E4B5B">
            <w:pPr>
              <w:pStyle w:val="ListParagraph"/>
              <w:numPr>
                <w:ilvl w:val="0"/>
                <w:numId w:val="3"/>
              </w:numPr>
              <w:rPr>
                <w:color w:val="000000"/>
                <w:sz w:val="23"/>
                <w:szCs w:val="23"/>
              </w:rPr>
            </w:pPr>
            <w:r>
              <w:rPr>
                <w:color w:val="000000"/>
                <w:sz w:val="23"/>
                <w:szCs w:val="23"/>
              </w:rPr>
              <w:t>Low paid work / voluntary work / higher education / employment related training within L19, L24, L25</w:t>
            </w:r>
            <w:r>
              <w:rPr>
                <w:color w:val="000000"/>
                <w:sz w:val="16"/>
                <w:szCs w:val="23"/>
              </w:rPr>
              <w:t>6</w:t>
            </w:r>
            <w:r>
              <w:rPr>
                <w:color w:val="000000"/>
                <w:sz w:val="23"/>
                <w:szCs w:val="23"/>
              </w:rPr>
              <w:t>;</w:t>
            </w:r>
          </w:p>
          <w:p w:rsidR="0041262F" w:rsidRDefault="0041262F" w:rsidP="004E4B5B">
            <w:pPr>
              <w:pStyle w:val="ListParagraph"/>
              <w:numPr>
                <w:ilvl w:val="0"/>
                <w:numId w:val="3"/>
              </w:numPr>
              <w:rPr>
                <w:color w:val="000000"/>
                <w:sz w:val="23"/>
                <w:szCs w:val="23"/>
              </w:rPr>
            </w:pPr>
            <w:r>
              <w:rPr>
                <w:color w:val="000000"/>
                <w:sz w:val="23"/>
                <w:szCs w:val="23"/>
              </w:rPr>
              <w:t>Medical</w:t>
            </w:r>
            <w:r>
              <w:rPr>
                <w:color w:val="000000"/>
                <w:sz w:val="16"/>
                <w:szCs w:val="23"/>
              </w:rPr>
              <w:t>7</w:t>
            </w:r>
            <w:r>
              <w:rPr>
                <w:color w:val="000000"/>
                <w:sz w:val="12"/>
                <w:szCs w:val="23"/>
              </w:rPr>
              <w:t>;</w:t>
            </w:r>
          </w:p>
          <w:p w:rsidR="0041262F" w:rsidRPr="00E6261D" w:rsidRDefault="0041262F" w:rsidP="004E4B5B">
            <w:pPr>
              <w:pStyle w:val="ListParagraph"/>
              <w:numPr>
                <w:ilvl w:val="0"/>
                <w:numId w:val="3"/>
              </w:numPr>
              <w:rPr>
                <w:color w:val="000000"/>
                <w:sz w:val="23"/>
                <w:szCs w:val="23"/>
              </w:rPr>
            </w:pPr>
            <w:r>
              <w:rPr>
                <w:color w:val="000000"/>
                <w:sz w:val="23"/>
                <w:szCs w:val="23"/>
              </w:rPr>
              <w:t>Low level nuisance</w:t>
            </w:r>
            <w:r>
              <w:rPr>
                <w:color w:val="000000"/>
                <w:sz w:val="16"/>
                <w:szCs w:val="23"/>
              </w:rPr>
              <w:t>8</w:t>
            </w:r>
            <w:r>
              <w:rPr>
                <w:color w:val="000000"/>
                <w:sz w:val="23"/>
                <w:szCs w:val="23"/>
              </w:rPr>
              <w:t>.</w:t>
            </w:r>
          </w:p>
        </w:tc>
      </w:tr>
      <w:tr w:rsidR="0041262F" w:rsidTr="004E4B5B">
        <w:tc>
          <w:tcPr>
            <w:tcW w:w="7087" w:type="dxa"/>
          </w:tcPr>
          <w:p w:rsidR="0041262F" w:rsidRPr="002B58D2" w:rsidRDefault="0041262F" w:rsidP="004E4B5B">
            <w:pPr>
              <w:pStyle w:val="ListParagraph"/>
              <w:ind w:left="360"/>
              <w:jc w:val="center"/>
              <w:rPr>
                <w:b/>
                <w:color w:val="000000"/>
                <w:sz w:val="23"/>
                <w:szCs w:val="23"/>
              </w:rPr>
            </w:pPr>
            <w:r>
              <w:rPr>
                <w:b/>
                <w:color w:val="000000"/>
                <w:sz w:val="23"/>
                <w:szCs w:val="23"/>
              </w:rPr>
              <w:t>6 months added</w:t>
            </w:r>
          </w:p>
          <w:p w:rsidR="0041262F" w:rsidRDefault="0041262F" w:rsidP="004E4B5B">
            <w:pPr>
              <w:pStyle w:val="ListParagraph"/>
              <w:numPr>
                <w:ilvl w:val="0"/>
                <w:numId w:val="3"/>
              </w:numPr>
              <w:rPr>
                <w:color w:val="000000"/>
                <w:sz w:val="23"/>
                <w:szCs w:val="23"/>
              </w:rPr>
            </w:pPr>
            <w:r>
              <w:rPr>
                <w:color w:val="000000"/>
                <w:sz w:val="23"/>
                <w:szCs w:val="23"/>
              </w:rPr>
              <w:t>Local connection  within L19, L24, L25;</w:t>
            </w:r>
          </w:p>
          <w:p w:rsidR="0041262F" w:rsidRPr="00E6261D" w:rsidRDefault="0041262F" w:rsidP="004E4B5B">
            <w:pPr>
              <w:pStyle w:val="ListParagraph"/>
              <w:numPr>
                <w:ilvl w:val="0"/>
                <w:numId w:val="3"/>
              </w:numPr>
              <w:rPr>
                <w:color w:val="000000"/>
                <w:sz w:val="23"/>
                <w:szCs w:val="23"/>
              </w:rPr>
            </w:pPr>
            <w:r>
              <w:rPr>
                <w:color w:val="000000"/>
                <w:sz w:val="23"/>
                <w:szCs w:val="23"/>
              </w:rPr>
              <w:t>Good previous tenancy behaviour.</w:t>
            </w:r>
          </w:p>
        </w:tc>
        <w:tc>
          <w:tcPr>
            <w:tcW w:w="7087" w:type="dxa"/>
          </w:tcPr>
          <w:p w:rsidR="0041262F" w:rsidRDefault="0041262F" w:rsidP="004E4B5B">
            <w:pPr>
              <w:jc w:val="center"/>
              <w:rPr>
                <w:b/>
                <w:color w:val="000000"/>
                <w:sz w:val="23"/>
                <w:szCs w:val="23"/>
              </w:rPr>
            </w:pPr>
            <w:r>
              <w:rPr>
                <w:b/>
                <w:color w:val="000000"/>
                <w:sz w:val="23"/>
                <w:szCs w:val="23"/>
              </w:rPr>
              <w:t>Date of application</w:t>
            </w:r>
          </w:p>
          <w:p w:rsidR="0041262F" w:rsidRPr="002B58D2" w:rsidRDefault="0041262F" w:rsidP="004E4B5B">
            <w:pPr>
              <w:pStyle w:val="ListParagraph"/>
              <w:numPr>
                <w:ilvl w:val="0"/>
                <w:numId w:val="4"/>
              </w:numPr>
              <w:rPr>
                <w:color w:val="000000"/>
                <w:sz w:val="23"/>
                <w:szCs w:val="23"/>
              </w:rPr>
            </w:pPr>
            <w:r>
              <w:rPr>
                <w:color w:val="000000"/>
                <w:sz w:val="23"/>
                <w:szCs w:val="23"/>
              </w:rPr>
              <w:t>No assessed need.</w:t>
            </w:r>
          </w:p>
        </w:tc>
      </w:tr>
    </w:tbl>
    <w:p w:rsidR="008F254C" w:rsidRDefault="008F254C" w:rsidP="0041262F">
      <w:pPr>
        <w:rPr>
          <w:b/>
        </w:rPr>
      </w:pPr>
    </w:p>
    <w:p w:rsidR="009E4138" w:rsidRDefault="009E4138" w:rsidP="0041262F">
      <w:pPr>
        <w:rPr>
          <w:b/>
        </w:rPr>
      </w:pPr>
    </w:p>
    <w:p w:rsidR="009E4138" w:rsidRDefault="009E4138" w:rsidP="0041262F">
      <w:pPr>
        <w:rPr>
          <w:b/>
        </w:rPr>
      </w:pPr>
    </w:p>
    <w:p w:rsidR="009E4138" w:rsidRDefault="009E4138" w:rsidP="0041262F">
      <w:pPr>
        <w:rPr>
          <w:b/>
        </w:rPr>
      </w:pPr>
    </w:p>
    <w:p w:rsidR="009E4138" w:rsidRDefault="009E4138" w:rsidP="0041262F">
      <w:pPr>
        <w:rPr>
          <w:b/>
        </w:rPr>
      </w:pPr>
    </w:p>
    <w:p w:rsidR="009E4138" w:rsidRDefault="009E4138" w:rsidP="0041262F">
      <w:pPr>
        <w:rPr>
          <w:b/>
        </w:rPr>
      </w:pPr>
    </w:p>
    <w:p w:rsidR="009E4138" w:rsidRDefault="009E4138" w:rsidP="0041262F">
      <w:pPr>
        <w:rPr>
          <w:b/>
        </w:rPr>
      </w:pPr>
    </w:p>
    <w:p w:rsidR="009E4138" w:rsidRDefault="009E4138" w:rsidP="0041262F">
      <w:pPr>
        <w:rPr>
          <w:b/>
        </w:rPr>
      </w:pPr>
    </w:p>
    <w:p w:rsidR="009E4138" w:rsidRDefault="009E4138" w:rsidP="0041262F">
      <w:pPr>
        <w:rPr>
          <w:b/>
        </w:rPr>
      </w:pPr>
    </w:p>
    <w:p w:rsidR="009E4138" w:rsidRDefault="009E4138" w:rsidP="0041262F">
      <w:pPr>
        <w:rPr>
          <w:b/>
        </w:rPr>
      </w:pPr>
    </w:p>
    <w:p w:rsidR="009E4138" w:rsidRDefault="009E4138" w:rsidP="0041262F">
      <w:pPr>
        <w:rPr>
          <w:b/>
        </w:rPr>
      </w:pPr>
    </w:p>
    <w:p w:rsidR="009E4138" w:rsidRDefault="009E4138" w:rsidP="0041262F">
      <w:pPr>
        <w:rPr>
          <w:b/>
        </w:rPr>
      </w:pPr>
    </w:p>
    <w:p w:rsidR="008F254C" w:rsidRDefault="002637CA" w:rsidP="0041262F">
      <w:pPr>
        <w:rPr>
          <w:b/>
        </w:rPr>
      </w:pPr>
      <w:r>
        <w:rPr>
          <w:b/>
        </w:rPr>
        <w:t>Example – application date 1</w:t>
      </w:r>
      <w:r w:rsidRPr="002637CA">
        <w:rPr>
          <w:b/>
          <w:vertAlign w:val="superscript"/>
        </w:rPr>
        <w:t>st</w:t>
      </w:r>
      <w:r>
        <w:rPr>
          <w:b/>
        </w:rPr>
        <w:t xml:space="preserve"> January 2014</w:t>
      </w:r>
    </w:p>
    <w:p w:rsidR="002637CA" w:rsidRDefault="002637CA" w:rsidP="0041262F">
      <w:pPr>
        <w:rPr>
          <w:b/>
        </w:rPr>
      </w:pPr>
      <w:r>
        <w:rPr>
          <w:b/>
        </w:rPr>
        <w:t>If the customer is considered homeless – application date becomes 1</w:t>
      </w:r>
      <w:r w:rsidRPr="002637CA">
        <w:rPr>
          <w:b/>
          <w:vertAlign w:val="superscript"/>
        </w:rPr>
        <w:t>st</w:t>
      </w:r>
      <w:r>
        <w:rPr>
          <w:b/>
        </w:rPr>
        <w:t xml:space="preserve"> January 2012</w:t>
      </w:r>
    </w:p>
    <w:p w:rsidR="002637CA" w:rsidRDefault="002637CA" w:rsidP="0041262F">
      <w:pPr>
        <w:rPr>
          <w:b/>
        </w:rPr>
      </w:pPr>
      <w:r>
        <w:rPr>
          <w:b/>
        </w:rPr>
        <w:t>If the customer is considered to have a disability</w:t>
      </w:r>
      <w:r w:rsidR="00110F0F">
        <w:rPr>
          <w:b/>
        </w:rPr>
        <w:t xml:space="preserve"> – </w:t>
      </w:r>
      <w:r>
        <w:rPr>
          <w:b/>
        </w:rPr>
        <w:t>application date becomes 1</w:t>
      </w:r>
      <w:r w:rsidRPr="002637CA">
        <w:rPr>
          <w:b/>
          <w:vertAlign w:val="superscript"/>
        </w:rPr>
        <w:t>st</w:t>
      </w:r>
      <w:r>
        <w:rPr>
          <w:b/>
        </w:rPr>
        <w:t xml:space="preserve"> January 2013</w:t>
      </w:r>
    </w:p>
    <w:p w:rsidR="00110F0F" w:rsidRDefault="00110F0F" w:rsidP="0041262F">
      <w:pPr>
        <w:rPr>
          <w:b/>
        </w:rPr>
      </w:pPr>
      <w:r>
        <w:rPr>
          <w:b/>
        </w:rPr>
        <w:t>If the customer lives in the immediate local area – application date becomes 1</w:t>
      </w:r>
      <w:r w:rsidRPr="00110F0F">
        <w:rPr>
          <w:b/>
          <w:vertAlign w:val="superscript"/>
        </w:rPr>
        <w:t>st</w:t>
      </w:r>
      <w:r>
        <w:rPr>
          <w:b/>
        </w:rPr>
        <w:t xml:space="preserve"> July 2013</w:t>
      </w:r>
    </w:p>
    <w:p w:rsidR="009E4138" w:rsidRDefault="009E4138" w:rsidP="0041262F">
      <w:pPr>
        <w:rPr>
          <w:b/>
        </w:rPr>
      </w:pPr>
    </w:p>
    <w:p w:rsidR="009E4138" w:rsidRDefault="009E4138" w:rsidP="0041262F">
      <w:pPr>
        <w:rPr>
          <w:b/>
        </w:rPr>
      </w:pPr>
    </w:p>
    <w:p w:rsidR="009E4138" w:rsidRDefault="009E4138" w:rsidP="0041262F">
      <w:pPr>
        <w:rPr>
          <w:b/>
        </w:rPr>
      </w:pPr>
    </w:p>
    <w:p w:rsidR="009E4138" w:rsidRDefault="009E4138" w:rsidP="0041262F">
      <w:pPr>
        <w:rPr>
          <w:b/>
        </w:rPr>
      </w:pPr>
    </w:p>
    <w:p w:rsidR="009E4138" w:rsidRDefault="009E4138" w:rsidP="0041262F">
      <w:pPr>
        <w:rPr>
          <w:b/>
        </w:rPr>
      </w:pPr>
    </w:p>
    <w:p w:rsidR="0041262F" w:rsidRPr="00257CEF" w:rsidRDefault="00110F0F" w:rsidP="0041262F">
      <w:pPr>
        <w:rPr>
          <w:b/>
        </w:rPr>
      </w:pPr>
      <w:bookmarkStart w:id="1" w:name="_GoBack"/>
      <w:bookmarkEnd w:id="1"/>
      <w:r>
        <w:rPr>
          <w:b/>
        </w:rPr>
        <w:lastRenderedPageBreak/>
        <w:t>P</w:t>
      </w:r>
      <w:r w:rsidR="0041262F" w:rsidRPr="00257CEF">
        <w:rPr>
          <w:b/>
        </w:rPr>
        <w:t>riority Assessment Key</w:t>
      </w:r>
    </w:p>
    <w:p w:rsidR="0041262F" w:rsidRDefault="0041262F" w:rsidP="0041262F">
      <w:r>
        <w:t>1 - This includes life threatening illness or sudden disability.</w:t>
      </w:r>
    </w:p>
    <w:p w:rsidR="0041262F" w:rsidRDefault="0041262F" w:rsidP="0041262F">
      <w:r>
        <w:t>2 - Priority given where application is made within five years of discharge from Armed Forces.  Priority also provided to bereaved partners of members of the Armed Forces leaving Services Family Accommodation following the death of their partner.  Also includes serving or former Armed Forces Members moving because of a serious injury, medical condition sustained through service.</w:t>
      </w:r>
    </w:p>
    <w:p w:rsidR="0041262F" w:rsidRDefault="0041262F" w:rsidP="0041262F">
      <w:r>
        <w:t>3 - Examples include lacking bathroom, kitchen or inside toilet facilities, lack of adequate heating, hot water, electricity, shared facilities, disrepair, children living in flats above ground floor.</w:t>
      </w:r>
    </w:p>
    <w:p w:rsidR="0041262F" w:rsidRDefault="0041262F" w:rsidP="0041262F">
      <w:r>
        <w:t>4 -Welfare includes care leavers requiring a secure base, those that require care or support.  This would include foster carers, those approved to adopt or being assessed for adoption.  It also includes those that have taken on care of a child where evidence shows the child is with the applicant on a full time basis.  Hardship includes those that need to move to receive care, to access specialised medical treatment or to take up employment, education or training opportunity.  Hardship also includes owner occupiers who are subject to pending repossession (proof of sale will be required and equity levels reviewed).</w:t>
      </w:r>
    </w:p>
    <w:p w:rsidR="0041262F" w:rsidRDefault="0041262F" w:rsidP="0041262F">
      <w:r>
        <w:t>5 – Where no other tenancy is held.</w:t>
      </w:r>
    </w:p>
    <w:p w:rsidR="0041262F" w:rsidRDefault="0041262F" w:rsidP="0041262F">
      <w:r>
        <w:t>6 - Employment related training must be for a period of 6 months or longer.  Voluntary work does not include those that are volunteering for involvement or Board Membership with SLH.</w:t>
      </w:r>
    </w:p>
    <w:p w:rsidR="0041262F" w:rsidRDefault="0041262F" w:rsidP="0041262F">
      <w:r>
        <w:t>7 - Includes people who need to move because of their disability or access needs supported by an Occupational Therapist or Doctor through a written recommendation (physical and learning disability).</w:t>
      </w:r>
    </w:p>
    <w:p w:rsidR="0041262F" w:rsidRDefault="0041262F" w:rsidP="0041262F">
      <w:r>
        <w:t>8</w:t>
      </w:r>
      <w:r w:rsidRPr="00220CCC">
        <w:t xml:space="preserve"> – Low level nuisance includes those wanting to move due to</w:t>
      </w:r>
      <w:r>
        <w:t xml:space="preserve"> being a victim of nuisance or anti-social behaviour which is not life at risk and which is supported by evidence from other agencies.</w:t>
      </w:r>
    </w:p>
    <w:p w:rsidR="0041262F" w:rsidRDefault="0041262F" w:rsidP="0041262F">
      <w:pPr>
        <w:pStyle w:val="Heading2"/>
        <w:tabs>
          <w:tab w:val="clear" w:pos="1296"/>
          <w:tab w:val="num" w:pos="567"/>
        </w:tabs>
        <w:ind w:left="567" w:hanging="567"/>
      </w:pPr>
      <w:bookmarkStart w:id="2" w:name="_Toc371415485"/>
      <w:r>
        <w:t>Bedroom standard</w:t>
      </w:r>
      <w:bookmarkEnd w:id="2"/>
    </w:p>
    <w:p w:rsidR="0041262F" w:rsidRDefault="0041262F" w:rsidP="0041262F">
      <w:r>
        <w:t>SLH has adopted the Government’s bedroom standard to minimise the impact of the under occupancy rule on new applicants:</w:t>
      </w:r>
    </w:p>
    <w:p w:rsidR="0041262F" w:rsidRDefault="0041262F" w:rsidP="0041262F">
      <w:pPr>
        <w:pStyle w:val="ListParagraph"/>
        <w:numPr>
          <w:ilvl w:val="0"/>
          <w:numId w:val="4"/>
        </w:numPr>
      </w:pPr>
      <w:r>
        <w:t xml:space="preserve">Children of both sexes </w:t>
      </w:r>
      <w:proofErr w:type="gramStart"/>
      <w:r>
        <w:t>under</w:t>
      </w:r>
      <w:proofErr w:type="gramEnd"/>
      <w:r>
        <w:t xml:space="preserve"> 10 are expected to share a bedroom. If they currently do not share and they remain in separate rooms, one of their rooms will be considered as a spare bedroom.</w:t>
      </w:r>
    </w:p>
    <w:p w:rsidR="0041262F" w:rsidRDefault="0041262F" w:rsidP="0041262F">
      <w:pPr>
        <w:pStyle w:val="ListParagraph"/>
        <w:numPr>
          <w:ilvl w:val="0"/>
          <w:numId w:val="4"/>
        </w:numPr>
      </w:pPr>
      <w:r>
        <w:t>Children of the same gender under 16 are expected to share a bedroom.</w:t>
      </w:r>
    </w:p>
    <w:p w:rsidR="0041262F" w:rsidRDefault="0041262F" w:rsidP="0041262F">
      <w:pPr>
        <w:pStyle w:val="ListParagraph"/>
        <w:numPr>
          <w:ilvl w:val="0"/>
          <w:numId w:val="4"/>
        </w:numPr>
      </w:pPr>
      <w:r>
        <w:t>Couples and adults are entitled to have bedrooms of their own.</w:t>
      </w:r>
    </w:p>
    <w:p w:rsidR="0041262F" w:rsidRDefault="0041262F" w:rsidP="0041262F">
      <w:pPr>
        <w:pStyle w:val="ListParagraph"/>
        <w:numPr>
          <w:ilvl w:val="0"/>
          <w:numId w:val="4"/>
        </w:numPr>
      </w:pPr>
      <w:r>
        <w:t>If a bedroom (with or without furniture) is kept free for when a child comes to stay with a parent that they do not normally live with, this room will be considered as a spare bedroom.</w:t>
      </w:r>
    </w:p>
    <w:p w:rsidR="0041262F" w:rsidRDefault="0041262F" w:rsidP="0041262F">
      <w:pPr>
        <w:pStyle w:val="ListParagraph"/>
        <w:numPr>
          <w:ilvl w:val="0"/>
          <w:numId w:val="4"/>
        </w:numPr>
      </w:pPr>
      <w:r>
        <w:t>Only one parent, even where they share access to the child, can claim full occupancy for those children.</w:t>
      </w:r>
    </w:p>
    <w:p w:rsidR="00AE0633" w:rsidRDefault="0041262F">
      <w:r>
        <w:t>SLH will consider under occupying homes to applicants who are working and are able to meet the full rent.</w:t>
      </w:r>
    </w:p>
    <w:sectPr w:rsidR="00AE0633" w:rsidSect="009E4138">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922B8C"/>
    <w:multiLevelType w:val="hybridMultilevel"/>
    <w:tmpl w:val="846A49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1E073117"/>
    <w:multiLevelType w:val="hybridMultilevel"/>
    <w:tmpl w:val="FA90EC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71313C22"/>
    <w:multiLevelType w:val="multilevel"/>
    <w:tmpl w:val="80329EFA"/>
    <w:lvl w:ilvl="0">
      <w:start w:val="1"/>
      <w:numFmt w:val="decimal"/>
      <w:pStyle w:val="Heading1"/>
      <w:lvlText w:val="%1"/>
      <w:lvlJc w:val="left"/>
      <w:pPr>
        <w:tabs>
          <w:tab w:val="num" w:pos="1152"/>
        </w:tabs>
        <w:ind w:left="1152" w:hanging="432"/>
      </w:pPr>
      <w:rPr>
        <w:rFonts w:hint="default"/>
      </w:rPr>
    </w:lvl>
    <w:lvl w:ilvl="1">
      <w:start w:val="1"/>
      <w:numFmt w:val="decimal"/>
      <w:pStyle w:val="Heading2"/>
      <w:lvlText w:val="%1.%2"/>
      <w:lvlJc w:val="left"/>
      <w:pPr>
        <w:tabs>
          <w:tab w:val="num" w:pos="1296"/>
        </w:tabs>
        <w:ind w:left="1296" w:hanging="576"/>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pStyle w:val="Heading4"/>
      <w:lvlText w:val="%1.%2.%3.%4"/>
      <w:lvlJc w:val="left"/>
      <w:pPr>
        <w:tabs>
          <w:tab w:val="num" w:pos="1584"/>
        </w:tabs>
        <w:ind w:left="1584" w:hanging="864"/>
      </w:pPr>
      <w:rPr>
        <w:rFonts w:hint="default"/>
      </w:rPr>
    </w:lvl>
    <w:lvl w:ilvl="4">
      <w:start w:val="1"/>
      <w:numFmt w:val="decimal"/>
      <w:pStyle w:val="Heading5"/>
      <w:lvlText w:val="%1.%2.%3.%4.%5"/>
      <w:lvlJc w:val="left"/>
      <w:pPr>
        <w:tabs>
          <w:tab w:val="num" w:pos="1728"/>
        </w:tabs>
        <w:ind w:left="1728" w:hanging="1008"/>
      </w:pPr>
      <w:rPr>
        <w:rFonts w:hint="default"/>
      </w:rPr>
    </w:lvl>
    <w:lvl w:ilvl="5">
      <w:start w:val="1"/>
      <w:numFmt w:val="decimal"/>
      <w:pStyle w:val="Heading6"/>
      <w:lvlText w:val="%1.%2.%3.%4.%5.%6"/>
      <w:lvlJc w:val="left"/>
      <w:pPr>
        <w:tabs>
          <w:tab w:val="num" w:pos="1872"/>
        </w:tabs>
        <w:ind w:left="1872" w:hanging="1152"/>
      </w:pPr>
      <w:rPr>
        <w:rFonts w:hint="default"/>
      </w:rPr>
    </w:lvl>
    <w:lvl w:ilvl="6">
      <w:start w:val="1"/>
      <w:numFmt w:val="decimal"/>
      <w:pStyle w:val="Heading7"/>
      <w:lvlText w:val="%1.%2.%3.%4.%5.%6.%7"/>
      <w:lvlJc w:val="left"/>
      <w:pPr>
        <w:tabs>
          <w:tab w:val="num" w:pos="2016"/>
        </w:tabs>
        <w:ind w:left="2016" w:hanging="1296"/>
      </w:pPr>
      <w:rPr>
        <w:rFonts w:hint="default"/>
      </w:rPr>
    </w:lvl>
    <w:lvl w:ilvl="7">
      <w:start w:val="1"/>
      <w:numFmt w:val="decimal"/>
      <w:pStyle w:val="Heading8"/>
      <w:lvlText w:val="%1.%2.%3.%4.%5.%6.%7.%8"/>
      <w:lvlJc w:val="left"/>
      <w:pPr>
        <w:tabs>
          <w:tab w:val="num" w:pos="2160"/>
        </w:tabs>
        <w:ind w:left="2160" w:hanging="1440"/>
      </w:pPr>
      <w:rPr>
        <w:rFonts w:hint="default"/>
      </w:rPr>
    </w:lvl>
    <w:lvl w:ilvl="8">
      <w:start w:val="1"/>
      <w:numFmt w:val="decimal"/>
      <w:pStyle w:val="Heading9"/>
      <w:lvlText w:val="%1.%2.%3.%4.%5.%6.%7.%8.%9"/>
      <w:lvlJc w:val="left"/>
      <w:pPr>
        <w:tabs>
          <w:tab w:val="num" w:pos="2304"/>
        </w:tabs>
        <w:ind w:left="2304" w:hanging="1584"/>
      </w:pPr>
      <w:rPr>
        <w:rFonts w:hint="default"/>
      </w:rPr>
    </w:lvl>
  </w:abstractNum>
  <w:abstractNum w:abstractNumId="3">
    <w:nsid w:val="791A364F"/>
    <w:multiLevelType w:val="hybridMultilevel"/>
    <w:tmpl w:val="E886DC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262F"/>
    <w:rsid w:val="00110F0F"/>
    <w:rsid w:val="002637CA"/>
    <w:rsid w:val="0041262F"/>
    <w:rsid w:val="008F254C"/>
    <w:rsid w:val="009E4138"/>
    <w:rsid w:val="00AE06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262F"/>
    <w:pPr>
      <w:spacing w:before="120" w:after="120" w:line="240" w:lineRule="auto"/>
    </w:pPr>
    <w:rPr>
      <w:rFonts w:ascii="Arial" w:eastAsia="Times New Roman" w:hAnsi="Arial" w:cs="Times New Roman"/>
      <w:sz w:val="24"/>
      <w:szCs w:val="24"/>
      <w:lang w:eastAsia="en-GB"/>
    </w:rPr>
  </w:style>
  <w:style w:type="paragraph" w:styleId="Heading1">
    <w:name w:val="heading 1"/>
    <w:basedOn w:val="Normal"/>
    <w:next w:val="Normal"/>
    <w:link w:val="Heading1Char"/>
    <w:qFormat/>
    <w:rsid w:val="0041262F"/>
    <w:pPr>
      <w:keepNext/>
      <w:numPr>
        <w:numId w:val="1"/>
      </w:numPr>
      <w:ind w:left="1151" w:hanging="431"/>
      <w:outlineLvl w:val="0"/>
    </w:pPr>
    <w:rPr>
      <w:rFonts w:cs="Arial"/>
      <w:b/>
      <w:bCs/>
      <w:kern w:val="32"/>
      <w:szCs w:val="32"/>
    </w:rPr>
  </w:style>
  <w:style w:type="paragraph" w:styleId="Heading2">
    <w:name w:val="heading 2"/>
    <w:basedOn w:val="Normal"/>
    <w:next w:val="Normal"/>
    <w:link w:val="Heading2Char"/>
    <w:qFormat/>
    <w:rsid w:val="0041262F"/>
    <w:pPr>
      <w:keepNext/>
      <w:numPr>
        <w:ilvl w:val="1"/>
        <w:numId w:val="1"/>
      </w:numPr>
      <w:ind w:left="1298" w:hanging="578"/>
      <w:outlineLvl w:val="1"/>
    </w:pPr>
    <w:rPr>
      <w:rFonts w:cs="Arial"/>
      <w:b/>
      <w:iCs/>
      <w:kern w:val="32"/>
    </w:rPr>
  </w:style>
  <w:style w:type="paragraph" w:styleId="Heading3">
    <w:name w:val="heading 3"/>
    <w:basedOn w:val="Normal"/>
    <w:next w:val="Normal"/>
    <w:link w:val="Heading3Char"/>
    <w:qFormat/>
    <w:rsid w:val="0041262F"/>
    <w:pPr>
      <w:keepNext/>
      <w:numPr>
        <w:ilvl w:val="2"/>
        <w:numId w:val="1"/>
      </w:numPr>
      <w:spacing w:before="240" w:after="60"/>
      <w:outlineLvl w:val="2"/>
    </w:pPr>
    <w:rPr>
      <w:rFonts w:cs="Arial"/>
      <w:b/>
      <w:bCs/>
      <w:sz w:val="26"/>
      <w:szCs w:val="26"/>
    </w:rPr>
  </w:style>
  <w:style w:type="paragraph" w:styleId="Heading4">
    <w:name w:val="heading 4"/>
    <w:basedOn w:val="Normal"/>
    <w:next w:val="Normal"/>
    <w:link w:val="Heading4Char"/>
    <w:qFormat/>
    <w:rsid w:val="0041262F"/>
    <w:pPr>
      <w:keepNext/>
      <w:numPr>
        <w:ilvl w:val="3"/>
        <w:numId w:val="1"/>
      </w:numPr>
      <w:spacing w:before="240" w:after="60"/>
      <w:outlineLvl w:val="3"/>
    </w:pPr>
    <w:rPr>
      <w:rFonts w:ascii="Times New Roman" w:hAnsi="Times New Roman"/>
      <w:b/>
      <w:bCs/>
      <w:sz w:val="28"/>
      <w:szCs w:val="28"/>
    </w:rPr>
  </w:style>
  <w:style w:type="paragraph" w:styleId="Heading5">
    <w:name w:val="heading 5"/>
    <w:basedOn w:val="Normal"/>
    <w:next w:val="Normal"/>
    <w:link w:val="Heading5Char"/>
    <w:qFormat/>
    <w:rsid w:val="0041262F"/>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rsid w:val="0041262F"/>
    <w:pPr>
      <w:numPr>
        <w:ilvl w:val="5"/>
        <w:numId w:val="1"/>
      </w:numPr>
      <w:spacing w:before="240" w:after="60"/>
      <w:outlineLvl w:val="5"/>
    </w:pPr>
    <w:rPr>
      <w:rFonts w:ascii="Times New Roman" w:hAnsi="Times New Roman"/>
      <w:b/>
      <w:bCs/>
      <w:sz w:val="22"/>
      <w:szCs w:val="22"/>
    </w:rPr>
  </w:style>
  <w:style w:type="paragraph" w:styleId="Heading7">
    <w:name w:val="heading 7"/>
    <w:basedOn w:val="Normal"/>
    <w:next w:val="Normal"/>
    <w:link w:val="Heading7Char"/>
    <w:qFormat/>
    <w:rsid w:val="0041262F"/>
    <w:pPr>
      <w:numPr>
        <w:ilvl w:val="6"/>
        <w:numId w:val="1"/>
      </w:numPr>
      <w:spacing w:before="240" w:after="60"/>
      <w:outlineLvl w:val="6"/>
    </w:pPr>
    <w:rPr>
      <w:rFonts w:ascii="Times New Roman" w:hAnsi="Times New Roman"/>
    </w:rPr>
  </w:style>
  <w:style w:type="paragraph" w:styleId="Heading8">
    <w:name w:val="heading 8"/>
    <w:basedOn w:val="Normal"/>
    <w:next w:val="Normal"/>
    <w:link w:val="Heading8Char"/>
    <w:qFormat/>
    <w:rsid w:val="0041262F"/>
    <w:pPr>
      <w:numPr>
        <w:ilvl w:val="7"/>
        <w:numId w:val="1"/>
      </w:numPr>
      <w:spacing w:before="240" w:after="60"/>
      <w:outlineLvl w:val="7"/>
    </w:pPr>
    <w:rPr>
      <w:rFonts w:ascii="Times New Roman" w:hAnsi="Times New Roman"/>
      <w:i/>
      <w:iCs/>
    </w:rPr>
  </w:style>
  <w:style w:type="paragraph" w:styleId="Heading9">
    <w:name w:val="heading 9"/>
    <w:basedOn w:val="Normal"/>
    <w:next w:val="Normal"/>
    <w:link w:val="Heading9Char"/>
    <w:qFormat/>
    <w:rsid w:val="0041262F"/>
    <w:pPr>
      <w:numPr>
        <w:ilvl w:val="8"/>
        <w:numId w:val="1"/>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1262F"/>
    <w:rPr>
      <w:rFonts w:ascii="Arial" w:eastAsia="Times New Roman" w:hAnsi="Arial" w:cs="Arial"/>
      <w:b/>
      <w:bCs/>
      <w:kern w:val="32"/>
      <w:sz w:val="24"/>
      <w:szCs w:val="32"/>
      <w:lang w:eastAsia="en-GB"/>
    </w:rPr>
  </w:style>
  <w:style w:type="character" w:customStyle="1" w:styleId="Heading2Char">
    <w:name w:val="Heading 2 Char"/>
    <w:basedOn w:val="DefaultParagraphFont"/>
    <w:link w:val="Heading2"/>
    <w:rsid w:val="0041262F"/>
    <w:rPr>
      <w:rFonts w:ascii="Arial" w:eastAsia="Times New Roman" w:hAnsi="Arial" w:cs="Arial"/>
      <w:b/>
      <w:iCs/>
      <w:kern w:val="32"/>
      <w:sz w:val="24"/>
      <w:szCs w:val="24"/>
      <w:lang w:eastAsia="en-GB"/>
    </w:rPr>
  </w:style>
  <w:style w:type="character" w:customStyle="1" w:styleId="Heading3Char">
    <w:name w:val="Heading 3 Char"/>
    <w:basedOn w:val="DefaultParagraphFont"/>
    <w:link w:val="Heading3"/>
    <w:rsid w:val="0041262F"/>
    <w:rPr>
      <w:rFonts w:ascii="Arial" w:eastAsia="Times New Roman" w:hAnsi="Arial" w:cs="Arial"/>
      <w:b/>
      <w:bCs/>
      <w:sz w:val="26"/>
      <w:szCs w:val="26"/>
      <w:lang w:eastAsia="en-GB"/>
    </w:rPr>
  </w:style>
  <w:style w:type="character" w:customStyle="1" w:styleId="Heading4Char">
    <w:name w:val="Heading 4 Char"/>
    <w:basedOn w:val="DefaultParagraphFont"/>
    <w:link w:val="Heading4"/>
    <w:rsid w:val="0041262F"/>
    <w:rPr>
      <w:rFonts w:ascii="Times New Roman" w:eastAsia="Times New Roman" w:hAnsi="Times New Roman" w:cs="Times New Roman"/>
      <w:b/>
      <w:bCs/>
      <w:sz w:val="28"/>
      <w:szCs w:val="28"/>
      <w:lang w:eastAsia="en-GB"/>
    </w:rPr>
  </w:style>
  <w:style w:type="character" w:customStyle="1" w:styleId="Heading5Char">
    <w:name w:val="Heading 5 Char"/>
    <w:basedOn w:val="DefaultParagraphFont"/>
    <w:link w:val="Heading5"/>
    <w:rsid w:val="0041262F"/>
    <w:rPr>
      <w:rFonts w:ascii="Arial" w:eastAsia="Times New Roman" w:hAnsi="Arial" w:cs="Times New Roman"/>
      <w:b/>
      <w:bCs/>
      <w:i/>
      <w:iCs/>
      <w:sz w:val="26"/>
      <w:szCs w:val="26"/>
      <w:lang w:eastAsia="en-GB"/>
    </w:rPr>
  </w:style>
  <w:style w:type="character" w:customStyle="1" w:styleId="Heading6Char">
    <w:name w:val="Heading 6 Char"/>
    <w:basedOn w:val="DefaultParagraphFont"/>
    <w:link w:val="Heading6"/>
    <w:rsid w:val="0041262F"/>
    <w:rPr>
      <w:rFonts w:ascii="Times New Roman" w:eastAsia="Times New Roman" w:hAnsi="Times New Roman" w:cs="Times New Roman"/>
      <w:b/>
      <w:bCs/>
      <w:lang w:eastAsia="en-GB"/>
    </w:rPr>
  </w:style>
  <w:style w:type="character" w:customStyle="1" w:styleId="Heading7Char">
    <w:name w:val="Heading 7 Char"/>
    <w:basedOn w:val="DefaultParagraphFont"/>
    <w:link w:val="Heading7"/>
    <w:rsid w:val="0041262F"/>
    <w:rPr>
      <w:rFonts w:ascii="Times New Roman" w:eastAsia="Times New Roman" w:hAnsi="Times New Roman" w:cs="Times New Roman"/>
      <w:sz w:val="24"/>
      <w:szCs w:val="24"/>
      <w:lang w:eastAsia="en-GB"/>
    </w:rPr>
  </w:style>
  <w:style w:type="character" w:customStyle="1" w:styleId="Heading8Char">
    <w:name w:val="Heading 8 Char"/>
    <w:basedOn w:val="DefaultParagraphFont"/>
    <w:link w:val="Heading8"/>
    <w:rsid w:val="0041262F"/>
    <w:rPr>
      <w:rFonts w:ascii="Times New Roman" w:eastAsia="Times New Roman" w:hAnsi="Times New Roman" w:cs="Times New Roman"/>
      <w:i/>
      <w:iCs/>
      <w:sz w:val="24"/>
      <w:szCs w:val="24"/>
      <w:lang w:eastAsia="en-GB"/>
    </w:rPr>
  </w:style>
  <w:style w:type="character" w:customStyle="1" w:styleId="Heading9Char">
    <w:name w:val="Heading 9 Char"/>
    <w:basedOn w:val="DefaultParagraphFont"/>
    <w:link w:val="Heading9"/>
    <w:rsid w:val="0041262F"/>
    <w:rPr>
      <w:rFonts w:ascii="Arial" w:eastAsia="Times New Roman" w:hAnsi="Arial" w:cs="Arial"/>
      <w:lang w:eastAsia="en-GB"/>
    </w:rPr>
  </w:style>
  <w:style w:type="table" w:styleId="TableGrid">
    <w:name w:val="Table Grid"/>
    <w:basedOn w:val="TableNormal"/>
    <w:rsid w:val="0041262F"/>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qFormat/>
    <w:rsid w:val="0041262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262F"/>
    <w:pPr>
      <w:spacing w:before="120" w:after="120" w:line="240" w:lineRule="auto"/>
    </w:pPr>
    <w:rPr>
      <w:rFonts w:ascii="Arial" w:eastAsia="Times New Roman" w:hAnsi="Arial" w:cs="Times New Roman"/>
      <w:sz w:val="24"/>
      <w:szCs w:val="24"/>
      <w:lang w:eastAsia="en-GB"/>
    </w:rPr>
  </w:style>
  <w:style w:type="paragraph" w:styleId="Heading1">
    <w:name w:val="heading 1"/>
    <w:basedOn w:val="Normal"/>
    <w:next w:val="Normal"/>
    <w:link w:val="Heading1Char"/>
    <w:qFormat/>
    <w:rsid w:val="0041262F"/>
    <w:pPr>
      <w:keepNext/>
      <w:numPr>
        <w:numId w:val="1"/>
      </w:numPr>
      <w:ind w:left="1151" w:hanging="431"/>
      <w:outlineLvl w:val="0"/>
    </w:pPr>
    <w:rPr>
      <w:rFonts w:cs="Arial"/>
      <w:b/>
      <w:bCs/>
      <w:kern w:val="32"/>
      <w:szCs w:val="32"/>
    </w:rPr>
  </w:style>
  <w:style w:type="paragraph" w:styleId="Heading2">
    <w:name w:val="heading 2"/>
    <w:basedOn w:val="Normal"/>
    <w:next w:val="Normal"/>
    <w:link w:val="Heading2Char"/>
    <w:qFormat/>
    <w:rsid w:val="0041262F"/>
    <w:pPr>
      <w:keepNext/>
      <w:numPr>
        <w:ilvl w:val="1"/>
        <w:numId w:val="1"/>
      </w:numPr>
      <w:ind w:left="1298" w:hanging="578"/>
      <w:outlineLvl w:val="1"/>
    </w:pPr>
    <w:rPr>
      <w:rFonts w:cs="Arial"/>
      <w:b/>
      <w:iCs/>
      <w:kern w:val="32"/>
    </w:rPr>
  </w:style>
  <w:style w:type="paragraph" w:styleId="Heading3">
    <w:name w:val="heading 3"/>
    <w:basedOn w:val="Normal"/>
    <w:next w:val="Normal"/>
    <w:link w:val="Heading3Char"/>
    <w:qFormat/>
    <w:rsid w:val="0041262F"/>
    <w:pPr>
      <w:keepNext/>
      <w:numPr>
        <w:ilvl w:val="2"/>
        <w:numId w:val="1"/>
      </w:numPr>
      <w:spacing w:before="240" w:after="60"/>
      <w:outlineLvl w:val="2"/>
    </w:pPr>
    <w:rPr>
      <w:rFonts w:cs="Arial"/>
      <w:b/>
      <w:bCs/>
      <w:sz w:val="26"/>
      <w:szCs w:val="26"/>
    </w:rPr>
  </w:style>
  <w:style w:type="paragraph" w:styleId="Heading4">
    <w:name w:val="heading 4"/>
    <w:basedOn w:val="Normal"/>
    <w:next w:val="Normal"/>
    <w:link w:val="Heading4Char"/>
    <w:qFormat/>
    <w:rsid w:val="0041262F"/>
    <w:pPr>
      <w:keepNext/>
      <w:numPr>
        <w:ilvl w:val="3"/>
        <w:numId w:val="1"/>
      </w:numPr>
      <w:spacing w:before="240" w:after="60"/>
      <w:outlineLvl w:val="3"/>
    </w:pPr>
    <w:rPr>
      <w:rFonts w:ascii="Times New Roman" w:hAnsi="Times New Roman"/>
      <w:b/>
      <w:bCs/>
      <w:sz w:val="28"/>
      <w:szCs w:val="28"/>
    </w:rPr>
  </w:style>
  <w:style w:type="paragraph" w:styleId="Heading5">
    <w:name w:val="heading 5"/>
    <w:basedOn w:val="Normal"/>
    <w:next w:val="Normal"/>
    <w:link w:val="Heading5Char"/>
    <w:qFormat/>
    <w:rsid w:val="0041262F"/>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rsid w:val="0041262F"/>
    <w:pPr>
      <w:numPr>
        <w:ilvl w:val="5"/>
        <w:numId w:val="1"/>
      </w:numPr>
      <w:spacing w:before="240" w:after="60"/>
      <w:outlineLvl w:val="5"/>
    </w:pPr>
    <w:rPr>
      <w:rFonts w:ascii="Times New Roman" w:hAnsi="Times New Roman"/>
      <w:b/>
      <w:bCs/>
      <w:sz w:val="22"/>
      <w:szCs w:val="22"/>
    </w:rPr>
  </w:style>
  <w:style w:type="paragraph" w:styleId="Heading7">
    <w:name w:val="heading 7"/>
    <w:basedOn w:val="Normal"/>
    <w:next w:val="Normal"/>
    <w:link w:val="Heading7Char"/>
    <w:qFormat/>
    <w:rsid w:val="0041262F"/>
    <w:pPr>
      <w:numPr>
        <w:ilvl w:val="6"/>
        <w:numId w:val="1"/>
      </w:numPr>
      <w:spacing w:before="240" w:after="60"/>
      <w:outlineLvl w:val="6"/>
    </w:pPr>
    <w:rPr>
      <w:rFonts w:ascii="Times New Roman" w:hAnsi="Times New Roman"/>
    </w:rPr>
  </w:style>
  <w:style w:type="paragraph" w:styleId="Heading8">
    <w:name w:val="heading 8"/>
    <w:basedOn w:val="Normal"/>
    <w:next w:val="Normal"/>
    <w:link w:val="Heading8Char"/>
    <w:qFormat/>
    <w:rsid w:val="0041262F"/>
    <w:pPr>
      <w:numPr>
        <w:ilvl w:val="7"/>
        <w:numId w:val="1"/>
      </w:numPr>
      <w:spacing w:before="240" w:after="60"/>
      <w:outlineLvl w:val="7"/>
    </w:pPr>
    <w:rPr>
      <w:rFonts w:ascii="Times New Roman" w:hAnsi="Times New Roman"/>
      <w:i/>
      <w:iCs/>
    </w:rPr>
  </w:style>
  <w:style w:type="paragraph" w:styleId="Heading9">
    <w:name w:val="heading 9"/>
    <w:basedOn w:val="Normal"/>
    <w:next w:val="Normal"/>
    <w:link w:val="Heading9Char"/>
    <w:qFormat/>
    <w:rsid w:val="0041262F"/>
    <w:pPr>
      <w:numPr>
        <w:ilvl w:val="8"/>
        <w:numId w:val="1"/>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1262F"/>
    <w:rPr>
      <w:rFonts w:ascii="Arial" w:eastAsia="Times New Roman" w:hAnsi="Arial" w:cs="Arial"/>
      <w:b/>
      <w:bCs/>
      <w:kern w:val="32"/>
      <w:sz w:val="24"/>
      <w:szCs w:val="32"/>
      <w:lang w:eastAsia="en-GB"/>
    </w:rPr>
  </w:style>
  <w:style w:type="character" w:customStyle="1" w:styleId="Heading2Char">
    <w:name w:val="Heading 2 Char"/>
    <w:basedOn w:val="DefaultParagraphFont"/>
    <w:link w:val="Heading2"/>
    <w:rsid w:val="0041262F"/>
    <w:rPr>
      <w:rFonts w:ascii="Arial" w:eastAsia="Times New Roman" w:hAnsi="Arial" w:cs="Arial"/>
      <w:b/>
      <w:iCs/>
      <w:kern w:val="32"/>
      <w:sz w:val="24"/>
      <w:szCs w:val="24"/>
      <w:lang w:eastAsia="en-GB"/>
    </w:rPr>
  </w:style>
  <w:style w:type="character" w:customStyle="1" w:styleId="Heading3Char">
    <w:name w:val="Heading 3 Char"/>
    <w:basedOn w:val="DefaultParagraphFont"/>
    <w:link w:val="Heading3"/>
    <w:rsid w:val="0041262F"/>
    <w:rPr>
      <w:rFonts w:ascii="Arial" w:eastAsia="Times New Roman" w:hAnsi="Arial" w:cs="Arial"/>
      <w:b/>
      <w:bCs/>
      <w:sz w:val="26"/>
      <w:szCs w:val="26"/>
      <w:lang w:eastAsia="en-GB"/>
    </w:rPr>
  </w:style>
  <w:style w:type="character" w:customStyle="1" w:styleId="Heading4Char">
    <w:name w:val="Heading 4 Char"/>
    <w:basedOn w:val="DefaultParagraphFont"/>
    <w:link w:val="Heading4"/>
    <w:rsid w:val="0041262F"/>
    <w:rPr>
      <w:rFonts w:ascii="Times New Roman" w:eastAsia="Times New Roman" w:hAnsi="Times New Roman" w:cs="Times New Roman"/>
      <w:b/>
      <w:bCs/>
      <w:sz w:val="28"/>
      <w:szCs w:val="28"/>
      <w:lang w:eastAsia="en-GB"/>
    </w:rPr>
  </w:style>
  <w:style w:type="character" w:customStyle="1" w:styleId="Heading5Char">
    <w:name w:val="Heading 5 Char"/>
    <w:basedOn w:val="DefaultParagraphFont"/>
    <w:link w:val="Heading5"/>
    <w:rsid w:val="0041262F"/>
    <w:rPr>
      <w:rFonts w:ascii="Arial" w:eastAsia="Times New Roman" w:hAnsi="Arial" w:cs="Times New Roman"/>
      <w:b/>
      <w:bCs/>
      <w:i/>
      <w:iCs/>
      <w:sz w:val="26"/>
      <w:szCs w:val="26"/>
      <w:lang w:eastAsia="en-GB"/>
    </w:rPr>
  </w:style>
  <w:style w:type="character" w:customStyle="1" w:styleId="Heading6Char">
    <w:name w:val="Heading 6 Char"/>
    <w:basedOn w:val="DefaultParagraphFont"/>
    <w:link w:val="Heading6"/>
    <w:rsid w:val="0041262F"/>
    <w:rPr>
      <w:rFonts w:ascii="Times New Roman" w:eastAsia="Times New Roman" w:hAnsi="Times New Roman" w:cs="Times New Roman"/>
      <w:b/>
      <w:bCs/>
      <w:lang w:eastAsia="en-GB"/>
    </w:rPr>
  </w:style>
  <w:style w:type="character" w:customStyle="1" w:styleId="Heading7Char">
    <w:name w:val="Heading 7 Char"/>
    <w:basedOn w:val="DefaultParagraphFont"/>
    <w:link w:val="Heading7"/>
    <w:rsid w:val="0041262F"/>
    <w:rPr>
      <w:rFonts w:ascii="Times New Roman" w:eastAsia="Times New Roman" w:hAnsi="Times New Roman" w:cs="Times New Roman"/>
      <w:sz w:val="24"/>
      <w:szCs w:val="24"/>
      <w:lang w:eastAsia="en-GB"/>
    </w:rPr>
  </w:style>
  <w:style w:type="character" w:customStyle="1" w:styleId="Heading8Char">
    <w:name w:val="Heading 8 Char"/>
    <w:basedOn w:val="DefaultParagraphFont"/>
    <w:link w:val="Heading8"/>
    <w:rsid w:val="0041262F"/>
    <w:rPr>
      <w:rFonts w:ascii="Times New Roman" w:eastAsia="Times New Roman" w:hAnsi="Times New Roman" w:cs="Times New Roman"/>
      <w:i/>
      <w:iCs/>
      <w:sz w:val="24"/>
      <w:szCs w:val="24"/>
      <w:lang w:eastAsia="en-GB"/>
    </w:rPr>
  </w:style>
  <w:style w:type="character" w:customStyle="1" w:styleId="Heading9Char">
    <w:name w:val="Heading 9 Char"/>
    <w:basedOn w:val="DefaultParagraphFont"/>
    <w:link w:val="Heading9"/>
    <w:rsid w:val="0041262F"/>
    <w:rPr>
      <w:rFonts w:ascii="Arial" w:eastAsia="Times New Roman" w:hAnsi="Arial" w:cs="Arial"/>
      <w:lang w:eastAsia="en-GB"/>
    </w:rPr>
  </w:style>
  <w:style w:type="table" w:styleId="TableGrid">
    <w:name w:val="Table Grid"/>
    <w:basedOn w:val="TableNormal"/>
    <w:rsid w:val="0041262F"/>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qFormat/>
    <w:rsid w:val="004126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616</Words>
  <Characters>3516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Kristene Karaski</dc:creator>
  <cp:lastModifiedBy>Kristene Karaski</cp:lastModifiedBy>
  <cp:revision>2</cp:revision>
  <dcterms:created xsi:type="dcterms:W3CDTF">2013-12-05T14:18:00Z</dcterms:created>
  <dcterms:modified xsi:type="dcterms:W3CDTF">2013-12-05T14:18:00Z</dcterms:modified>
</cp:coreProperties>
</file>