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BD6FC" w14:textId="2A8B5D1A" w:rsidR="0019394F" w:rsidRPr="00E34E2D" w:rsidRDefault="00232447" w:rsidP="00232447">
      <w:pPr>
        <w:spacing w:after="120"/>
        <w:rPr>
          <w:rFonts w:ascii="Arial" w:hAnsi="Arial" w:cs="Arial"/>
          <w:b/>
          <w:sz w:val="24"/>
          <w:szCs w:val="24"/>
        </w:rPr>
      </w:pPr>
      <w:bookmarkStart w:id="0" w:name="_GoBack"/>
      <w:bookmarkEnd w:id="0"/>
      <w:r w:rsidRPr="00E34E2D">
        <w:rPr>
          <w:rFonts w:ascii="Arial" w:hAnsi="Arial" w:cs="Arial"/>
          <w:b/>
          <w:sz w:val="24"/>
          <w:szCs w:val="24"/>
        </w:rPr>
        <w:t>R</w:t>
      </w:r>
      <w:r w:rsidR="00EE18E7">
        <w:rPr>
          <w:rFonts w:ascii="Arial" w:hAnsi="Arial" w:cs="Arial"/>
          <w:b/>
          <w:sz w:val="24"/>
          <w:szCs w:val="24"/>
        </w:rPr>
        <w:t>egulator of Social Housing</w:t>
      </w:r>
      <w:r w:rsidRPr="00E34E2D">
        <w:rPr>
          <w:rFonts w:ascii="Arial" w:hAnsi="Arial" w:cs="Arial"/>
          <w:b/>
          <w:sz w:val="24"/>
          <w:szCs w:val="24"/>
        </w:rPr>
        <w:t xml:space="preserve"> Self-Assessment</w:t>
      </w:r>
    </w:p>
    <w:p w14:paraId="2CF37DDB" w14:textId="77777777" w:rsidR="00232447" w:rsidRPr="00CC413B" w:rsidRDefault="00536BF9" w:rsidP="00232447">
      <w:pPr>
        <w:spacing w:after="120"/>
        <w:rPr>
          <w:rFonts w:ascii="Arial" w:hAnsi="Arial" w:cs="Arial"/>
          <w:b/>
          <w:sz w:val="28"/>
          <w:szCs w:val="28"/>
        </w:rPr>
      </w:pPr>
      <w:r>
        <w:rPr>
          <w:rFonts w:ascii="Arial" w:hAnsi="Arial" w:cs="Arial"/>
          <w:b/>
          <w:sz w:val="28"/>
          <w:szCs w:val="28"/>
        </w:rPr>
        <w:t>Neighbourhood and Community</w:t>
      </w:r>
      <w:r w:rsidR="00232447" w:rsidRPr="00CC413B">
        <w:rPr>
          <w:rFonts w:ascii="Arial" w:hAnsi="Arial" w:cs="Arial"/>
          <w:b/>
          <w:sz w:val="28"/>
          <w:szCs w:val="28"/>
        </w:rPr>
        <w:t xml:space="preserve"> Standard</w:t>
      </w:r>
    </w:p>
    <w:tbl>
      <w:tblPr>
        <w:tblStyle w:val="TableGrid"/>
        <w:tblW w:w="0" w:type="auto"/>
        <w:tblLook w:val="04A0" w:firstRow="1" w:lastRow="0" w:firstColumn="1" w:lastColumn="0" w:noHBand="0" w:noVBand="1"/>
      </w:tblPr>
      <w:tblGrid>
        <w:gridCol w:w="9016"/>
      </w:tblGrid>
      <w:tr w:rsidR="00E34E2D" w:rsidRPr="00224978" w14:paraId="0BA9BD43" w14:textId="77777777" w:rsidTr="00EE18E7">
        <w:tc>
          <w:tcPr>
            <w:tcW w:w="9016" w:type="dxa"/>
            <w:shd w:val="clear" w:color="auto" w:fill="BFBFBF" w:themeFill="background1" w:themeFillShade="BF"/>
          </w:tcPr>
          <w:p w14:paraId="142FFB26" w14:textId="77777777" w:rsidR="00DC5D04" w:rsidRPr="00EE18E7" w:rsidRDefault="00DC5D04" w:rsidP="00DC5D04">
            <w:pPr>
              <w:spacing w:after="120"/>
              <w:rPr>
                <w:rFonts w:cs="Arial"/>
                <w:b/>
                <w:bCs/>
              </w:rPr>
            </w:pPr>
            <w:proofErr w:type="gramStart"/>
            <w:r w:rsidRPr="00EE18E7">
              <w:rPr>
                <w:rFonts w:cs="Arial"/>
                <w:b/>
                <w:bCs/>
              </w:rPr>
              <w:t>1  Required</w:t>
            </w:r>
            <w:proofErr w:type="gramEnd"/>
            <w:r w:rsidRPr="00EE18E7">
              <w:rPr>
                <w:rFonts w:cs="Arial"/>
                <w:b/>
                <w:bCs/>
              </w:rPr>
              <w:t xml:space="preserve"> outcomes </w:t>
            </w:r>
          </w:p>
          <w:p w14:paraId="0FC2AA50" w14:textId="77777777" w:rsidR="00DC5D04" w:rsidRPr="00224978" w:rsidRDefault="00DC5D04" w:rsidP="00DC5D04">
            <w:pPr>
              <w:spacing w:after="120"/>
              <w:rPr>
                <w:rFonts w:cs="Arial"/>
              </w:rPr>
            </w:pPr>
            <w:proofErr w:type="gramStart"/>
            <w:r w:rsidRPr="00224978">
              <w:rPr>
                <w:rFonts w:cs="Arial"/>
              </w:rPr>
              <w:t xml:space="preserve">1.1  </w:t>
            </w:r>
            <w:r w:rsidR="00E347A4" w:rsidRPr="00224978">
              <w:t>Neighbourhood</w:t>
            </w:r>
            <w:proofErr w:type="gramEnd"/>
            <w:r w:rsidR="00E347A4" w:rsidRPr="00224978">
              <w:t xml:space="preserve"> management</w:t>
            </w:r>
          </w:p>
          <w:p w14:paraId="3A0C79CF" w14:textId="77777777" w:rsidR="00E34E2D" w:rsidRPr="00224978" w:rsidRDefault="00DC5D04" w:rsidP="00E34E2D">
            <w:pPr>
              <w:spacing w:after="120"/>
              <w:rPr>
                <w:rFonts w:cs="Arial"/>
              </w:rPr>
            </w:pPr>
            <w:r w:rsidRPr="00224978">
              <w:rPr>
                <w:rFonts w:cs="Arial"/>
              </w:rPr>
              <w:t xml:space="preserve"> </w:t>
            </w:r>
            <w:r w:rsidR="00E347A4" w:rsidRPr="00224978">
              <w:t>Registered providers shall keep the neighbourhood and communal areas associated with the homes that they own clean and safe. They shall work in partnership with their tenants and other providers and public bodies where it is effective to do so.</w:t>
            </w:r>
          </w:p>
        </w:tc>
      </w:tr>
      <w:tr w:rsidR="00E34E2D" w:rsidRPr="00224978" w14:paraId="518FABF7" w14:textId="77777777" w:rsidTr="00EE18E7">
        <w:tc>
          <w:tcPr>
            <w:tcW w:w="9016" w:type="dxa"/>
          </w:tcPr>
          <w:p w14:paraId="7440DC30" w14:textId="77777777" w:rsidR="00EE18E7" w:rsidRDefault="00EE18E7" w:rsidP="00E34E2D">
            <w:pPr>
              <w:spacing w:after="120"/>
              <w:rPr>
                <w:rFonts w:cs="Arial"/>
                <w:b/>
              </w:rPr>
            </w:pPr>
            <w:r>
              <w:rPr>
                <w:rFonts w:cs="Arial"/>
                <w:b/>
              </w:rPr>
              <w:t xml:space="preserve">Assessment of compliance </w:t>
            </w:r>
          </w:p>
          <w:p w14:paraId="09CE7CA0" w14:textId="4D208952" w:rsidR="00E34E2D" w:rsidRPr="00224978" w:rsidRDefault="00EE18E7" w:rsidP="00E34E2D">
            <w:pPr>
              <w:spacing w:after="120"/>
              <w:rPr>
                <w:rFonts w:cs="Arial"/>
              </w:rPr>
            </w:pPr>
            <w:r w:rsidRPr="00EE18E7">
              <w:rPr>
                <w:rFonts w:cs="Arial"/>
                <w:b/>
                <w:color w:val="FF0000"/>
              </w:rPr>
              <w:t>Yes/No/Partial</w:t>
            </w:r>
          </w:p>
        </w:tc>
      </w:tr>
      <w:tr w:rsidR="00E34E2D" w:rsidRPr="00224978" w14:paraId="10A926B5" w14:textId="77777777" w:rsidTr="00EE18E7">
        <w:tc>
          <w:tcPr>
            <w:tcW w:w="9016" w:type="dxa"/>
          </w:tcPr>
          <w:p w14:paraId="0FC4F228" w14:textId="77777777" w:rsidR="00A40553" w:rsidRPr="00224978" w:rsidRDefault="67DCFA2B" w:rsidP="67DCFA2B">
            <w:pPr>
              <w:spacing w:after="120"/>
              <w:rPr>
                <w:rFonts w:cs="Arial"/>
              </w:rPr>
            </w:pPr>
            <w:r w:rsidRPr="00224978">
              <w:rPr>
                <w:rFonts w:cs="Arial"/>
                <w:b/>
                <w:bCs/>
              </w:rPr>
              <w:t>Narrative</w:t>
            </w:r>
            <w:r w:rsidRPr="00224978">
              <w:rPr>
                <w:rFonts w:cs="Arial"/>
              </w:rPr>
              <w:t xml:space="preserve"> </w:t>
            </w:r>
          </w:p>
          <w:p w14:paraId="118AB0B1" w14:textId="50F02474" w:rsidR="001155AD" w:rsidRPr="00224978" w:rsidRDefault="001155AD" w:rsidP="00D15F47">
            <w:pPr>
              <w:spacing w:after="120"/>
              <w:rPr>
                <w:rFonts w:cs="Arial"/>
              </w:rPr>
            </w:pPr>
          </w:p>
        </w:tc>
      </w:tr>
      <w:tr w:rsidR="00E34E2D" w:rsidRPr="00224978" w14:paraId="505A066C" w14:textId="77777777" w:rsidTr="00EE18E7">
        <w:tc>
          <w:tcPr>
            <w:tcW w:w="9016" w:type="dxa"/>
          </w:tcPr>
          <w:p w14:paraId="443EAE44" w14:textId="77777777" w:rsidR="005F603C" w:rsidRPr="00224978" w:rsidRDefault="00E34E2D" w:rsidP="005F603C">
            <w:pPr>
              <w:spacing w:after="120"/>
              <w:rPr>
                <w:rFonts w:cs="Arial"/>
              </w:rPr>
            </w:pPr>
            <w:r w:rsidRPr="00224978">
              <w:rPr>
                <w:rFonts w:cs="Arial"/>
                <w:b/>
              </w:rPr>
              <w:t>Evidence</w:t>
            </w:r>
            <w:r w:rsidRPr="00224978">
              <w:rPr>
                <w:rFonts w:cs="Arial"/>
              </w:rPr>
              <w:t xml:space="preserve"> </w:t>
            </w:r>
          </w:p>
          <w:p w14:paraId="7EDBFD08" w14:textId="27B362B7" w:rsidR="00064CCB" w:rsidRPr="00224978" w:rsidRDefault="00064CCB" w:rsidP="00E347A4">
            <w:pPr>
              <w:spacing w:after="120"/>
              <w:rPr>
                <w:rFonts w:cs="Arial"/>
              </w:rPr>
            </w:pPr>
            <w:r w:rsidRPr="00224978">
              <w:rPr>
                <w:rFonts w:cs="Arial"/>
              </w:rPr>
              <w:t xml:space="preserve">. </w:t>
            </w:r>
          </w:p>
          <w:p w14:paraId="58870F12" w14:textId="77777777" w:rsidR="001155AD" w:rsidRPr="00224978" w:rsidRDefault="001155AD" w:rsidP="001155AD">
            <w:pPr>
              <w:spacing w:after="120"/>
              <w:rPr>
                <w:rFonts w:cs="Arial"/>
              </w:rPr>
            </w:pPr>
          </w:p>
        </w:tc>
      </w:tr>
      <w:tr w:rsidR="00EE18E7" w:rsidRPr="00224978" w14:paraId="76668D28" w14:textId="77777777" w:rsidTr="00EE18E7">
        <w:tc>
          <w:tcPr>
            <w:tcW w:w="9016" w:type="dxa"/>
          </w:tcPr>
          <w:p w14:paraId="30371BA7" w14:textId="77777777" w:rsidR="00EE18E7" w:rsidRDefault="00EE18E7" w:rsidP="005F603C">
            <w:pPr>
              <w:spacing w:after="120"/>
              <w:rPr>
                <w:rFonts w:cs="Arial"/>
                <w:b/>
              </w:rPr>
            </w:pPr>
            <w:r>
              <w:rPr>
                <w:rFonts w:cs="Arial"/>
                <w:b/>
              </w:rPr>
              <w:t>Corrective actions/best practice to be adopted/improvements suggested by residents</w:t>
            </w:r>
          </w:p>
          <w:p w14:paraId="3C00666F" w14:textId="2313231F" w:rsidR="00EE18E7" w:rsidRPr="00224978" w:rsidRDefault="00EE18E7" w:rsidP="005F603C">
            <w:pPr>
              <w:spacing w:after="120"/>
              <w:rPr>
                <w:rFonts w:cs="Arial"/>
                <w:b/>
              </w:rPr>
            </w:pPr>
          </w:p>
        </w:tc>
      </w:tr>
      <w:tr w:rsidR="00E34E2D" w:rsidRPr="00224978" w14:paraId="766B738D" w14:textId="77777777" w:rsidTr="00EE18E7">
        <w:tc>
          <w:tcPr>
            <w:tcW w:w="9016" w:type="dxa"/>
            <w:shd w:val="clear" w:color="auto" w:fill="BFBFBF" w:themeFill="background1" w:themeFillShade="BF"/>
          </w:tcPr>
          <w:p w14:paraId="28B531C1" w14:textId="77777777" w:rsidR="00E347A4" w:rsidRPr="00224978" w:rsidRDefault="00E347A4" w:rsidP="00B9167C">
            <w:pPr>
              <w:tabs>
                <w:tab w:val="left" w:pos="5910"/>
              </w:tabs>
              <w:spacing w:after="120"/>
            </w:pPr>
            <w:r w:rsidRPr="00224978">
              <w:t>1.2 Local area co-operation</w:t>
            </w:r>
          </w:p>
          <w:p w14:paraId="4A428EC2" w14:textId="77777777" w:rsidR="00E34E2D" w:rsidRPr="00224978" w:rsidRDefault="00E347A4" w:rsidP="00B9167C">
            <w:pPr>
              <w:tabs>
                <w:tab w:val="left" w:pos="5910"/>
              </w:tabs>
              <w:spacing w:after="120"/>
              <w:rPr>
                <w:rFonts w:cs="Arial"/>
              </w:rPr>
            </w:pPr>
            <w:r w:rsidRPr="00224978">
              <w:t>Registered providers shall co-operate with relevant partners to help promote social, environmental and economic wellbeing</w:t>
            </w:r>
            <w:r w:rsidR="00B9167C" w:rsidRPr="00224978">
              <w:rPr>
                <w:rFonts w:cs="Arial"/>
              </w:rPr>
              <w:tab/>
            </w:r>
          </w:p>
        </w:tc>
      </w:tr>
      <w:tr w:rsidR="00EE18E7" w:rsidRPr="00224978" w14:paraId="22B32F16" w14:textId="77777777" w:rsidTr="00EE18E7">
        <w:tc>
          <w:tcPr>
            <w:tcW w:w="9016" w:type="dxa"/>
          </w:tcPr>
          <w:p w14:paraId="0EB8D3D3" w14:textId="77777777" w:rsidR="00EE18E7" w:rsidRDefault="00EE18E7" w:rsidP="00EE18E7">
            <w:pPr>
              <w:spacing w:after="120"/>
              <w:rPr>
                <w:rFonts w:cs="Arial"/>
                <w:b/>
              </w:rPr>
            </w:pPr>
            <w:r>
              <w:rPr>
                <w:rFonts w:cs="Arial"/>
                <w:b/>
              </w:rPr>
              <w:t xml:space="preserve">Assessment of compliance </w:t>
            </w:r>
          </w:p>
          <w:p w14:paraId="133CE894" w14:textId="63A2FB99" w:rsidR="00EE18E7" w:rsidRPr="00224978" w:rsidRDefault="00EE18E7" w:rsidP="00EE18E7">
            <w:pPr>
              <w:spacing w:after="120"/>
              <w:rPr>
                <w:rFonts w:cs="Arial"/>
              </w:rPr>
            </w:pPr>
            <w:r w:rsidRPr="00EE18E7">
              <w:rPr>
                <w:rFonts w:cs="Arial"/>
                <w:b/>
                <w:color w:val="FF0000"/>
              </w:rPr>
              <w:t>Yes/No/Partial</w:t>
            </w:r>
          </w:p>
        </w:tc>
      </w:tr>
      <w:tr w:rsidR="00EE18E7" w:rsidRPr="00224978" w14:paraId="633FE9A0" w14:textId="77777777" w:rsidTr="00EE18E7">
        <w:tc>
          <w:tcPr>
            <w:tcW w:w="9016" w:type="dxa"/>
          </w:tcPr>
          <w:p w14:paraId="7E9B1464" w14:textId="77777777" w:rsidR="00EE18E7" w:rsidRPr="00224978" w:rsidRDefault="00EE18E7" w:rsidP="00EE18E7">
            <w:pPr>
              <w:spacing w:after="120"/>
              <w:rPr>
                <w:rFonts w:cs="Arial"/>
              </w:rPr>
            </w:pPr>
            <w:r w:rsidRPr="00224978">
              <w:rPr>
                <w:rFonts w:cs="Arial"/>
                <w:b/>
                <w:bCs/>
              </w:rPr>
              <w:t>Narrative</w:t>
            </w:r>
            <w:r w:rsidRPr="00224978">
              <w:rPr>
                <w:rFonts w:cs="Arial"/>
              </w:rPr>
              <w:t xml:space="preserve"> </w:t>
            </w:r>
          </w:p>
          <w:p w14:paraId="6EA8F806" w14:textId="27B3109E" w:rsidR="00EE18E7" w:rsidRPr="00224978" w:rsidRDefault="00EE18E7" w:rsidP="00EE18E7">
            <w:pPr>
              <w:spacing w:after="120"/>
              <w:rPr>
                <w:rFonts w:cs="Arial"/>
              </w:rPr>
            </w:pPr>
          </w:p>
        </w:tc>
      </w:tr>
      <w:tr w:rsidR="00EE18E7" w:rsidRPr="00224978" w14:paraId="64D4CDD8" w14:textId="77777777" w:rsidTr="00EE18E7">
        <w:tc>
          <w:tcPr>
            <w:tcW w:w="9016" w:type="dxa"/>
          </w:tcPr>
          <w:p w14:paraId="6A073815" w14:textId="77777777" w:rsidR="00EE18E7" w:rsidRPr="00224978" w:rsidRDefault="00EE18E7" w:rsidP="00EE18E7">
            <w:pPr>
              <w:spacing w:after="120"/>
              <w:rPr>
                <w:rFonts w:cs="Arial"/>
              </w:rPr>
            </w:pPr>
            <w:r w:rsidRPr="00224978">
              <w:rPr>
                <w:rFonts w:cs="Arial"/>
                <w:b/>
              </w:rPr>
              <w:t>Evidence</w:t>
            </w:r>
            <w:r w:rsidRPr="00224978">
              <w:rPr>
                <w:rFonts w:cs="Arial"/>
              </w:rPr>
              <w:t xml:space="preserve"> </w:t>
            </w:r>
          </w:p>
          <w:p w14:paraId="31FF7C8F" w14:textId="77777777" w:rsidR="00EE18E7" w:rsidRPr="00224978" w:rsidRDefault="00EE18E7" w:rsidP="00EE18E7">
            <w:pPr>
              <w:spacing w:after="120"/>
              <w:rPr>
                <w:rFonts w:cs="Arial"/>
              </w:rPr>
            </w:pPr>
            <w:r w:rsidRPr="00224978">
              <w:rPr>
                <w:rFonts w:cs="Arial"/>
              </w:rPr>
              <w:t xml:space="preserve">. </w:t>
            </w:r>
          </w:p>
          <w:p w14:paraId="25F28B40" w14:textId="1E6A2B2E" w:rsidR="00EE18E7" w:rsidRPr="00224978" w:rsidRDefault="00EE18E7" w:rsidP="00EE18E7">
            <w:pPr>
              <w:spacing w:after="120"/>
              <w:rPr>
                <w:rFonts w:cs="Arial"/>
              </w:rPr>
            </w:pPr>
          </w:p>
        </w:tc>
      </w:tr>
      <w:tr w:rsidR="00EE18E7" w:rsidRPr="00224978" w14:paraId="64F6C550" w14:textId="77777777" w:rsidTr="00EE18E7">
        <w:tc>
          <w:tcPr>
            <w:tcW w:w="9016" w:type="dxa"/>
          </w:tcPr>
          <w:p w14:paraId="144A4DA9" w14:textId="77777777" w:rsidR="00EE18E7" w:rsidRDefault="00EE18E7" w:rsidP="00EE18E7">
            <w:pPr>
              <w:spacing w:after="120"/>
              <w:rPr>
                <w:rFonts w:cs="Arial"/>
                <w:b/>
              </w:rPr>
            </w:pPr>
            <w:r>
              <w:rPr>
                <w:rFonts w:cs="Arial"/>
                <w:b/>
              </w:rPr>
              <w:t>Corrective actions/best practice to be adopted/improvements suggested by residents</w:t>
            </w:r>
          </w:p>
          <w:p w14:paraId="6F9291F8" w14:textId="77777777" w:rsidR="00EE18E7" w:rsidRPr="00224978" w:rsidRDefault="00EE18E7" w:rsidP="00EE18E7">
            <w:pPr>
              <w:spacing w:after="120"/>
              <w:rPr>
                <w:rFonts w:cs="Arial"/>
                <w:b/>
              </w:rPr>
            </w:pPr>
          </w:p>
        </w:tc>
      </w:tr>
      <w:tr w:rsidR="00E34E2D" w:rsidRPr="00224978" w14:paraId="3DA1B763" w14:textId="77777777" w:rsidTr="00EE18E7">
        <w:tc>
          <w:tcPr>
            <w:tcW w:w="9016" w:type="dxa"/>
            <w:shd w:val="clear" w:color="auto" w:fill="BFBFBF" w:themeFill="background1" w:themeFillShade="BF"/>
          </w:tcPr>
          <w:p w14:paraId="52E9CF21" w14:textId="77777777" w:rsidR="00E34E2D" w:rsidRPr="00224978" w:rsidRDefault="00E347A4" w:rsidP="009F0C67">
            <w:pPr>
              <w:spacing w:after="120"/>
            </w:pPr>
            <w:r w:rsidRPr="00224978">
              <w:t>1.3 Anti-social behaviour</w:t>
            </w:r>
          </w:p>
          <w:p w14:paraId="6EBC01E6" w14:textId="77777777" w:rsidR="00E347A4" w:rsidRPr="00224978" w:rsidRDefault="00E347A4" w:rsidP="009F0C67">
            <w:pPr>
              <w:spacing w:after="120"/>
              <w:rPr>
                <w:rFonts w:cs="Arial"/>
              </w:rPr>
            </w:pPr>
            <w:r w:rsidRPr="00224978">
              <w:t>Registered providers shall work in partnership with other agencies to prevent and tackle anti-social behaviour</w:t>
            </w:r>
          </w:p>
        </w:tc>
      </w:tr>
      <w:tr w:rsidR="00EE18E7" w:rsidRPr="00224978" w14:paraId="4DDF8DCC" w14:textId="77777777" w:rsidTr="00EE18E7">
        <w:tc>
          <w:tcPr>
            <w:tcW w:w="9016" w:type="dxa"/>
          </w:tcPr>
          <w:p w14:paraId="214A0508" w14:textId="77777777" w:rsidR="00EE18E7" w:rsidRDefault="00EE18E7" w:rsidP="00EE18E7">
            <w:pPr>
              <w:spacing w:after="120"/>
              <w:rPr>
                <w:rFonts w:cs="Arial"/>
                <w:b/>
              </w:rPr>
            </w:pPr>
            <w:r>
              <w:rPr>
                <w:rFonts w:cs="Arial"/>
                <w:b/>
              </w:rPr>
              <w:t xml:space="preserve">Assessment of compliance </w:t>
            </w:r>
          </w:p>
          <w:p w14:paraId="5EE68DEC" w14:textId="2FAFD0A2" w:rsidR="00EE18E7" w:rsidRPr="00224978" w:rsidRDefault="00EE18E7" w:rsidP="00DC0144">
            <w:pPr>
              <w:rPr>
                <w:rFonts w:cs="Arial"/>
              </w:rPr>
            </w:pPr>
            <w:r w:rsidRPr="00EE18E7">
              <w:rPr>
                <w:rFonts w:cs="Arial"/>
                <w:b/>
                <w:color w:val="FF0000"/>
              </w:rPr>
              <w:t>Yes/No/Partial</w:t>
            </w:r>
          </w:p>
        </w:tc>
      </w:tr>
      <w:tr w:rsidR="00EE18E7" w:rsidRPr="00224978" w14:paraId="6649F7F7" w14:textId="77777777" w:rsidTr="00EE18E7">
        <w:tc>
          <w:tcPr>
            <w:tcW w:w="9016" w:type="dxa"/>
          </w:tcPr>
          <w:p w14:paraId="06E3B0B2" w14:textId="77777777" w:rsidR="00EE18E7" w:rsidRPr="00224978" w:rsidRDefault="00EE18E7" w:rsidP="00EE18E7">
            <w:pPr>
              <w:spacing w:after="120"/>
              <w:rPr>
                <w:rFonts w:cs="Arial"/>
              </w:rPr>
            </w:pPr>
            <w:r w:rsidRPr="00224978">
              <w:rPr>
                <w:rFonts w:cs="Arial"/>
                <w:b/>
                <w:bCs/>
              </w:rPr>
              <w:t>Narrative</w:t>
            </w:r>
            <w:r w:rsidRPr="00224978">
              <w:rPr>
                <w:rFonts w:cs="Arial"/>
              </w:rPr>
              <w:t xml:space="preserve"> </w:t>
            </w:r>
          </w:p>
          <w:p w14:paraId="64673430" w14:textId="77777777" w:rsidR="00EE18E7" w:rsidRPr="00224978" w:rsidRDefault="00EE18E7" w:rsidP="00EE18E7">
            <w:pPr>
              <w:jc w:val="center"/>
              <w:rPr>
                <w:rFonts w:cs="Arial"/>
              </w:rPr>
            </w:pPr>
          </w:p>
        </w:tc>
      </w:tr>
      <w:tr w:rsidR="00EE18E7" w:rsidRPr="00224978" w14:paraId="39186B21" w14:textId="77777777" w:rsidTr="00EE18E7">
        <w:tc>
          <w:tcPr>
            <w:tcW w:w="9016" w:type="dxa"/>
          </w:tcPr>
          <w:p w14:paraId="67FE47F8" w14:textId="77777777" w:rsidR="00EE18E7" w:rsidRPr="00224978" w:rsidRDefault="00EE18E7" w:rsidP="00EE18E7">
            <w:pPr>
              <w:spacing w:after="120"/>
              <w:rPr>
                <w:rFonts w:cs="Arial"/>
              </w:rPr>
            </w:pPr>
            <w:r w:rsidRPr="00224978">
              <w:rPr>
                <w:rFonts w:cs="Arial"/>
                <w:b/>
              </w:rPr>
              <w:t>Evidence</w:t>
            </w:r>
            <w:r w:rsidRPr="00224978">
              <w:rPr>
                <w:rFonts w:cs="Arial"/>
              </w:rPr>
              <w:t xml:space="preserve"> </w:t>
            </w:r>
          </w:p>
          <w:p w14:paraId="211BF4D9" w14:textId="77777777" w:rsidR="00EE18E7" w:rsidRPr="00224978" w:rsidRDefault="00EE18E7" w:rsidP="00EE18E7">
            <w:pPr>
              <w:spacing w:after="120"/>
              <w:rPr>
                <w:rFonts w:cs="Arial"/>
              </w:rPr>
            </w:pPr>
            <w:r w:rsidRPr="00224978">
              <w:rPr>
                <w:rFonts w:cs="Arial"/>
              </w:rPr>
              <w:t xml:space="preserve">. </w:t>
            </w:r>
          </w:p>
          <w:p w14:paraId="4FCAFB52" w14:textId="77777777" w:rsidR="00EE18E7" w:rsidRPr="00224978" w:rsidRDefault="00EE18E7" w:rsidP="00EE18E7">
            <w:pPr>
              <w:spacing w:after="120"/>
              <w:rPr>
                <w:rFonts w:cs="Arial"/>
              </w:rPr>
            </w:pPr>
          </w:p>
        </w:tc>
      </w:tr>
      <w:tr w:rsidR="00EE18E7" w:rsidRPr="00224978" w14:paraId="45FE8C88" w14:textId="77777777" w:rsidTr="00EE18E7">
        <w:tc>
          <w:tcPr>
            <w:tcW w:w="9016" w:type="dxa"/>
          </w:tcPr>
          <w:p w14:paraId="488CF70F" w14:textId="77777777" w:rsidR="00EE18E7" w:rsidRDefault="00EE18E7" w:rsidP="00EE18E7">
            <w:pPr>
              <w:spacing w:after="120"/>
              <w:rPr>
                <w:rFonts w:cs="Arial"/>
                <w:b/>
              </w:rPr>
            </w:pPr>
            <w:r>
              <w:rPr>
                <w:rFonts w:cs="Arial"/>
                <w:b/>
              </w:rPr>
              <w:lastRenderedPageBreak/>
              <w:t>Corrective actions/best practice to be adopted/improvements suggested by residents</w:t>
            </w:r>
          </w:p>
          <w:p w14:paraId="78D2B1DE" w14:textId="01920951" w:rsidR="00EE18E7" w:rsidRPr="00224978" w:rsidRDefault="00EE18E7" w:rsidP="00EE18E7">
            <w:pPr>
              <w:spacing w:after="120"/>
              <w:rPr>
                <w:rFonts w:cs="Arial"/>
              </w:rPr>
            </w:pPr>
          </w:p>
        </w:tc>
      </w:tr>
      <w:tr w:rsidR="00E34E2D" w:rsidRPr="00224978" w14:paraId="737C5C79" w14:textId="77777777" w:rsidTr="00EE18E7">
        <w:tc>
          <w:tcPr>
            <w:tcW w:w="9016" w:type="dxa"/>
            <w:shd w:val="clear" w:color="auto" w:fill="BFBFBF" w:themeFill="background1" w:themeFillShade="BF"/>
          </w:tcPr>
          <w:p w14:paraId="5162130C" w14:textId="77777777" w:rsidR="00E347A4" w:rsidRPr="00EE18E7" w:rsidRDefault="00E347A4" w:rsidP="009F0C67">
            <w:pPr>
              <w:spacing w:after="120"/>
              <w:rPr>
                <w:b/>
                <w:bCs/>
              </w:rPr>
            </w:pPr>
            <w:r w:rsidRPr="00EE18E7">
              <w:rPr>
                <w:b/>
                <w:bCs/>
              </w:rPr>
              <w:t xml:space="preserve">2 Specific expectations </w:t>
            </w:r>
          </w:p>
          <w:p w14:paraId="3A81A4CD" w14:textId="77777777" w:rsidR="00E34E2D" w:rsidRPr="00224978" w:rsidRDefault="00E347A4" w:rsidP="009F0C67">
            <w:pPr>
              <w:spacing w:after="120"/>
            </w:pPr>
            <w:r w:rsidRPr="00224978">
              <w:t>2.1 Neighbourhood management</w:t>
            </w:r>
          </w:p>
          <w:p w14:paraId="1A9C2677" w14:textId="77777777" w:rsidR="00E347A4" w:rsidRPr="00224978" w:rsidRDefault="00E347A4" w:rsidP="009F0C67">
            <w:pPr>
              <w:spacing w:after="120"/>
              <w:rPr>
                <w:rFonts w:cs="Arial"/>
              </w:rPr>
            </w:pPr>
            <w:r w:rsidRPr="00224978">
              <w:t>Registered providers shall consult with tenants in developing a published policy for maintaining and improving the neighbourhoods associated with their homes</w:t>
            </w:r>
          </w:p>
        </w:tc>
      </w:tr>
      <w:tr w:rsidR="00EE18E7" w:rsidRPr="00224978" w14:paraId="33B11BA5" w14:textId="77777777" w:rsidTr="00EE18E7">
        <w:tc>
          <w:tcPr>
            <w:tcW w:w="9016" w:type="dxa"/>
          </w:tcPr>
          <w:p w14:paraId="1764EAF6" w14:textId="77777777" w:rsidR="00EE18E7" w:rsidRDefault="00EE18E7" w:rsidP="00EE18E7">
            <w:pPr>
              <w:spacing w:after="120"/>
              <w:rPr>
                <w:rFonts w:cs="Arial"/>
                <w:b/>
              </w:rPr>
            </w:pPr>
            <w:r>
              <w:rPr>
                <w:rFonts w:cs="Arial"/>
                <w:b/>
              </w:rPr>
              <w:t xml:space="preserve">Assessment of compliance </w:t>
            </w:r>
          </w:p>
          <w:p w14:paraId="04F48579" w14:textId="15968E33" w:rsidR="00EE18E7" w:rsidRPr="00224978" w:rsidRDefault="00EE18E7" w:rsidP="00EE18E7">
            <w:pPr>
              <w:spacing w:after="120"/>
              <w:rPr>
                <w:rFonts w:cs="Arial"/>
              </w:rPr>
            </w:pPr>
            <w:r w:rsidRPr="00EE18E7">
              <w:rPr>
                <w:rFonts w:cs="Arial"/>
                <w:b/>
                <w:color w:val="FF0000"/>
              </w:rPr>
              <w:t>Yes/No/Partial</w:t>
            </w:r>
          </w:p>
        </w:tc>
      </w:tr>
      <w:tr w:rsidR="00EE18E7" w:rsidRPr="00224978" w14:paraId="65826B3D" w14:textId="77777777" w:rsidTr="00EE18E7">
        <w:tc>
          <w:tcPr>
            <w:tcW w:w="9016" w:type="dxa"/>
          </w:tcPr>
          <w:p w14:paraId="4BDA0229" w14:textId="77777777" w:rsidR="00EE18E7" w:rsidRPr="00224978" w:rsidRDefault="00EE18E7" w:rsidP="00EE18E7">
            <w:pPr>
              <w:spacing w:after="120"/>
              <w:rPr>
                <w:rFonts w:cs="Arial"/>
              </w:rPr>
            </w:pPr>
            <w:r w:rsidRPr="00224978">
              <w:rPr>
                <w:rFonts w:cs="Arial"/>
                <w:b/>
                <w:bCs/>
              </w:rPr>
              <w:t>Narrative</w:t>
            </w:r>
            <w:r w:rsidRPr="00224978">
              <w:rPr>
                <w:rFonts w:cs="Arial"/>
              </w:rPr>
              <w:t xml:space="preserve"> </w:t>
            </w:r>
          </w:p>
          <w:p w14:paraId="4D52332F" w14:textId="7D3684DD" w:rsidR="00EE18E7" w:rsidRPr="00224978" w:rsidRDefault="00EE18E7" w:rsidP="00EE18E7">
            <w:pPr>
              <w:spacing w:after="120"/>
              <w:rPr>
                <w:rFonts w:cs="Arial"/>
              </w:rPr>
            </w:pPr>
          </w:p>
        </w:tc>
      </w:tr>
      <w:tr w:rsidR="00EE18E7" w:rsidRPr="00224978" w14:paraId="0237555A" w14:textId="77777777" w:rsidTr="00EE18E7">
        <w:tc>
          <w:tcPr>
            <w:tcW w:w="9016" w:type="dxa"/>
          </w:tcPr>
          <w:p w14:paraId="0591AB40" w14:textId="77777777" w:rsidR="00EE18E7" w:rsidRPr="00224978" w:rsidRDefault="00EE18E7" w:rsidP="00EE18E7">
            <w:pPr>
              <w:spacing w:after="120"/>
              <w:rPr>
                <w:rFonts w:cs="Arial"/>
              </w:rPr>
            </w:pPr>
            <w:r w:rsidRPr="00224978">
              <w:rPr>
                <w:rFonts w:cs="Arial"/>
                <w:b/>
              </w:rPr>
              <w:t>Evidence</w:t>
            </w:r>
            <w:r w:rsidRPr="00224978">
              <w:rPr>
                <w:rFonts w:cs="Arial"/>
              </w:rPr>
              <w:t xml:space="preserve"> </w:t>
            </w:r>
          </w:p>
          <w:p w14:paraId="40636D3F" w14:textId="77777777" w:rsidR="00EE18E7" w:rsidRPr="00224978" w:rsidRDefault="00EE18E7" w:rsidP="00EE18E7">
            <w:pPr>
              <w:spacing w:after="120"/>
              <w:rPr>
                <w:rFonts w:cs="Arial"/>
              </w:rPr>
            </w:pPr>
            <w:r w:rsidRPr="00224978">
              <w:rPr>
                <w:rFonts w:cs="Arial"/>
              </w:rPr>
              <w:t xml:space="preserve">. </w:t>
            </w:r>
          </w:p>
          <w:p w14:paraId="08035097" w14:textId="2F941988" w:rsidR="00EE18E7" w:rsidRPr="00224978" w:rsidRDefault="00EE18E7" w:rsidP="00EE18E7">
            <w:pPr>
              <w:spacing w:after="120"/>
              <w:rPr>
                <w:rFonts w:cs="Arial"/>
              </w:rPr>
            </w:pPr>
          </w:p>
        </w:tc>
      </w:tr>
      <w:tr w:rsidR="00EE18E7" w:rsidRPr="00224978" w14:paraId="2FD61CFE" w14:textId="77777777" w:rsidTr="00EE18E7">
        <w:tc>
          <w:tcPr>
            <w:tcW w:w="9016" w:type="dxa"/>
          </w:tcPr>
          <w:p w14:paraId="4162F02A" w14:textId="77777777" w:rsidR="00EE18E7" w:rsidRDefault="00EE18E7" w:rsidP="00EE18E7">
            <w:pPr>
              <w:spacing w:after="120"/>
              <w:rPr>
                <w:rFonts w:cs="Arial"/>
                <w:b/>
              </w:rPr>
            </w:pPr>
            <w:r>
              <w:rPr>
                <w:rFonts w:cs="Arial"/>
                <w:b/>
              </w:rPr>
              <w:t>Corrective actions/best practice to be adopted/improvements suggested by residents</w:t>
            </w:r>
          </w:p>
          <w:p w14:paraId="3CDE1B9D" w14:textId="77777777" w:rsidR="00EE18E7" w:rsidRPr="00224978" w:rsidRDefault="00EE18E7" w:rsidP="00EE18E7">
            <w:pPr>
              <w:spacing w:after="120"/>
              <w:rPr>
                <w:rFonts w:cs="Arial"/>
              </w:rPr>
            </w:pPr>
          </w:p>
        </w:tc>
      </w:tr>
      <w:tr w:rsidR="00E34E2D" w:rsidRPr="00224978" w14:paraId="3BD5A197" w14:textId="77777777" w:rsidTr="00EE18E7">
        <w:tc>
          <w:tcPr>
            <w:tcW w:w="9016" w:type="dxa"/>
            <w:shd w:val="clear" w:color="auto" w:fill="BFBFBF" w:themeFill="background1" w:themeFillShade="BF"/>
          </w:tcPr>
          <w:p w14:paraId="1FD1FC6B" w14:textId="77777777" w:rsidR="00E34E2D" w:rsidRPr="00224978" w:rsidRDefault="00E347A4" w:rsidP="009F0C67">
            <w:pPr>
              <w:spacing w:after="120"/>
            </w:pPr>
            <w:r w:rsidRPr="00224978">
              <w:t>2.2 Local area co-operation</w:t>
            </w:r>
          </w:p>
          <w:p w14:paraId="55CD5A7B" w14:textId="77777777" w:rsidR="00E347A4" w:rsidRPr="00224978" w:rsidRDefault="00E347A4" w:rsidP="009F0C67">
            <w:pPr>
              <w:spacing w:after="120"/>
            </w:pPr>
            <w:r w:rsidRPr="00224978">
              <w:t xml:space="preserve">Registered providers, having taken account of their presence and impact within the areas where they own properties, shall: </w:t>
            </w:r>
          </w:p>
          <w:p w14:paraId="421507B6" w14:textId="77777777" w:rsidR="00E347A4" w:rsidRPr="00224978" w:rsidRDefault="00E347A4" w:rsidP="009F0C67">
            <w:pPr>
              <w:spacing w:after="120"/>
              <w:rPr>
                <w:rFonts w:cs="Arial"/>
              </w:rPr>
            </w:pPr>
            <w:r w:rsidRPr="00224978">
              <w:t>(a) identify and publish the roles they are able to play within the areas where they have properties</w:t>
            </w:r>
          </w:p>
        </w:tc>
      </w:tr>
      <w:tr w:rsidR="00EE18E7" w:rsidRPr="00224978" w14:paraId="0D37F3E8" w14:textId="77777777" w:rsidTr="00EE18E7">
        <w:tc>
          <w:tcPr>
            <w:tcW w:w="9016" w:type="dxa"/>
          </w:tcPr>
          <w:p w14:paraId="1E1599B5" w14:textId="77777777" w:rsidR="00EE18E7" w:rsidRDefault="00EE18E7" w:rsidP="00EE18E7">
            <w:pPr>
              <w:spacing w:after="120"/>
              <w:rPr>
                <w:rFonts w:cs="Arial"/>
                <w:b/>
              </w:rPr>
            </w:pPr>
            <w:r>
              <w:rPr>
                <w:rFonts w:cs="Arial"/>
                <w:b/>
              </w:rPr>
              <w:t xml:space="preserve">Assessment of compliance </w:t>
            </w:r>
          </w:p>
          <w:p w14:paraId="0DA4FAD8" w14:textId="3DB68980" w:rsidR="00EE18E7" w:rsidRPr="00224978" w:rsidRDefault="00EE18E7" w:rsidP="00EE18E7">
            <w:pPr>
              <w:spacing w:after="120"/>
              <w:rPr>
                <w:rFonts w:cs="Arial"/>
              </w:rPr>
            </w:pPr>
            <w:r w:rsidRPr="00EE18E7">
              <w:rPr>
                <w:rFonts w:cs="Arial"/>
                <w:b/>
                <w:color w:val="FF0000"/>
              </w:rPr>
              <w:t>Yes/No/Partial</w:t>
            </w:r>
          </w:p>
        </w:tc>
      </w:tr>
      <w:tr w:rsidR="00EE18E7" w:rsidRPr="00224978" w14:paraId="43115F1E" w14:textId="77777777" w:rsidTr="00EE18E7">
        <w:tc>
          <w:tcPr>
            <w:tcW w:w="9016" w:type="dxa"/>
          </w:tcPr>
          <w:p w14:paraId="1EC5B7B0" w14:textId="77777777" w:rsidR="00EE18E7" w:rsidRPr="00224978" w:rsidRDefault="00EE18E7" w:rsidP="00EE18E7">
            <w:pPr>
              <w:spacing w:after="120"/>
              <w:rPr>
                <w:rFonts w:cs="Arial"/>
              </w:rPr>
            </w:pPr>
            <w:r w:rsidRPr="00224978">
              <w:rPr>
                <w:rFonts w:cs="Arial"/>
                <w:b/>
                <w:bCs/>
              </w:rPr>
              <w:t>Narrative</w:t>
            </w:r>
            <w:r w:rsidRPr="00224978">
              <w:rPr>
                <w:rFonts w:cs="Arial"/>
              </w:rPr>
              <w:t xml:space="preserve"> </w:t>
            </w:r>
          </w:p>
          <w:p w14:paraId="12BEF6DE" w14:textId="3A0855C3" w:rsidR="00EE18E7" w:rsidRPr="00224978" w:rsidRDefault="00EE18E7" w:rsidP="00EE18E7">
            <w:pPr>
              <w:spacing w:after="120"/>
              <w:rPr>
                <w:rFonts w:cs="Arial"/>
              </w:rPr>
            </w:pPr>
          </w:p>
        </w:tc>
      </w:tr>
      <w:tr w:rsidR="00EE18E7" w:rsidRPr="00224978" w14:paraId="3ED883E8" w14:textId="77777777" w:rsidTr="00EE18E7">
        <w:tc>
          <w:tcPr>
            <w:tcW w:w="9016" w:type="dxa"/>
          </w:tcPr>
          <w:p w14:paraId="222499A8" w14:textId="77777777" w:rsidR="00EE18E7" w:rsidRPr="00224978" w:rsidRDefault="00EE18E7" w:rsidP="00EE18E7">
            <w:pPr>
              <w:spacing w:after="120"/>
              <w:rPr>
                <w:rFonts w:cs="Arial"/>
              </w:rPr>
            </w:pPr>
            <w:r w:rsidRPr="00224978">
              <w:rPr>
                <w:rFonts w:cs="Arial"/>
                <w:b/>
              </w:rPr>
              <w:t>Evidence</w:t>
            </w:r>
            <w:r w:rsidRPr="00224978">
              <w:rPr>
                <w:rFonts w:cs="Arial"/>
              </w:rPr>
              <w:t xml:space="preserve"> </w:t>
            </w:r>
          </w:p>
          <w:p w14:paraId="712776C7" w14:textId="77777777" w:rsidR="00EE18E7" w:rsidRPr="00224978" w:rsidRDefault="00EE18E7" w:rsidP="00EE18E7">
            <w:pPr>
              <w:spacing w:after="120"/>
              <w:rPr>
                <w:rFonts w:cs="Arial"/>
              </w:rPr>
            </w:pPr>
            <w:r w:rsidRPr="00224978">
              <w:rPr>
                <w:rFonts w:cs="Arial"/>
              </w:rPr>
              <w:t xml:space="preserve">. </w:t>
            </w:r>
          </w:p>
          <w:p w14:paraId="49578D67" w14:textId="6CCEFFE4" w:rsidR="00EE18E7" w:rsidRPr="00224978" w:rsidRDefault="00EE18E7" w:rsidP="00EE18E7">
            <w:pPr>
              <w:spacing w:after="120"/>
              <w:rPr>
                <w:rFonts w:cs="Arial"/>
              </w:rPr>
            </w:pPr>
          </w:p>
        </w:tc>
      </w:tr>
      <w:tr w:rsidR="00EE18E7" w:rsidRPr="00224978" w14:paraId="3E9BDEEC" w14:textId="77777777" w:rsidTr="00EE18E7">
        <w:tc>
          <w:tcPr>
            <w:tcW w:w="9016" w:type="dxa"/>
          </w:tcPr>
          <w:p w14:paraId="1204ABB4" w14:textId="77777777" w:rsidR="00EE18E7" w:rsidRDefault="00EE18E7" w:rsidP="00EE18E7">
            <w:pPr>
              <w:spacing w:after="120"/>
              <w:rPr>
                <w:rFonts w:cs="Arial"/>
                <w:b/>
              </w:rPr>
            </w:pPr>
            <w:r>
              <w:rPr>
                <w:rFonts w:cs="Arial"/>
                <w:b/>
              </w:rPr>
              <w:t>Corrective actions/best practice to be adopted/improvements suggested by residents</w:t>
            </w:r>
          </w:p>
          <w:p w14:paraId="79E0C2BE" w14:textId="77777777" w:rsidR="00EE18E7" w:rsidRPr="00224978" w:rsidRDefault="00EE18E7" w:rsidP="00EE18E7">
            <w:pPr>
              <w:spacing w:after="120"/>
              <w:rPr>
                <w:rFonts w:cs="Arial"/>
              </w:rPr>
            </w:pPr>
          </w:p>
        </w:tc>
      </w:tr>
      <w:tr w:rsidR="00E34E2D" w:rsidRPr="00224978" w14:paraId="7948A649" w14:textId="77777777" w:rsidTr="00EE18E7">
        <w:tc>
          <w:tcPr>
            <w:tcW w:w="9016" w:type="dxa"/>
            <w:shd w:val="clear" w:color="auto" w:fill="BFBFBF" w:themeFill="background1" w:themeFillShade="BF"/>
          </w:tcPr>
          <w:p w14:paraId="13492CCE" w14:textId="77777777" w:rsidR="00E34E2D" w:rsidRPr="00224978" w:rsidRDefault="00E347A4" w:rsidP="00E347A4">
            <w:pPr>
              <w:spacing w:after="120"/>
              <w:rPr>
                <w:rFonts w:cs="Arial"/>
              </w:rPr>
            </w:pPr>
            <w:r w:rsidRPr="00224978">
              <w:t xml:space="preserve">(b) co-operate with local partnership arrangements and strategic housing functions of local authorities where they are able to assist them in achieving their objectives </w:t>
            </w:r>
            <w:r w:rsidR="00DC5D04" w:rsidRPr="00224978">
              <w:rPr>
                <w:rFonts w:cs="Arial"/>
              </w:rPr>
              <w:t xml:space="preserve"> </w:t>
            </w:r>
          </w:p>
        </w:tc>
      </w:tr>
      <w:tr w:rsidR="00EE18E7" w:rsidRPr="00224978" w14:paraId="3691B6D9" w14:textId="77777777" w:rsidTr="00EE18E7">
        <w:tc>
          <w:tcPr>
            <w:tcW w:w="9016" w:type="dxa"/>
          </w:tcPr>
          <w:p w14:paraId="1F85C803" w14:textId="77777777" w:rsidR="00EE18E7" w:rsidRDefault="00EE18E7" w:rsidP="00EE18E7">
            <w:pPr>
              <w:spacing w:after="120"/>
              <w:rPr>
                <w:rFonts w:cs="Arial"/>
                <w:b/>
              </w:rPr>
            </w:pPr>
            <w:r>
              <w:rPr>
                <w:rFonts w:cs="Arial"/>
                <w:b/>
              </w:rPr>
              <w:t xml:space="preserve">Assessment of compliance </w:t>
            </w:r>
          </w:p>
          <w:p w14:paraId="73203B59" w14:textId="6A56D768" w:rsidR="00EE18E7" w:rsidRPr="00224978" w:rsidRDefault="00EE18E7" w:rsidP="00EE18E7">
            <w:pPr>
              <w:spacing w:after="120"/>
              <w:rPr>
                <w:rFonts w:cs="Arial"/>
              </w:rPr>
            </w:pPr>
            <w:r w:rsidRPr="00EE18E7">
              <w:rPr>
                <w:rFonts w:cs="Arial"/>
                <w:b/>
                <w:color w:val="FF0000"/>
              </w:rPr>
              <w:t>Yes/No/Partial</w:t>
            </w:r>
          </w:p>
        </w:tc>
      </w:tr>
      <w:tr w:rsidR="00EE18E7" w:rsidRPr="00224978" w14:paraId="11981E81" w14:textId="77777777" w:rsidTr="00EE18E7">
        <w:tc>
          <w:tcPr>
            <w:tcW w:w="9016" w:type="dxa"/>
          </w:tcPr>
          <w:p w14:paraId="20929317" w14:textId="77777777" w:rsidR="00EE18E7" w:rsidRPr="00224978" w:rsidRDefault="00EE18E7" w:rsidP="00EE18E7">
            <w:pPr>
              <w:spacing w:after="120"/>
              <w:rPr>
                <w:rFonts w:cs="Arial"/>
              </w:rPr>
            </w:pPr>
            <w:r w:rsidRPr="00224978">
              <w:rPr>
                <w:rFonts w:cs="Arial"/>
                <w:b/>
                <w:bCs/>
              </w:rPr>
              <w:t>Narrative</w:t>
            </w:r>
            <w:r w:rsidRPr="00224978">
              <w:rPr>
                <w:rFonts w:cs="Arial"/>
              </w:rPr>
              <w:t xml:space="preserve"> </w:t>
            </w:r>
          </w:p>
          <w:p w14:paraId="6D1D216C" w14:textId="77777777" w:rsidR="00EE18E7" w:rsidRPr="00224978" w:rsidRDefault="00EE18E7" w:rsidP="00EE18E7">
            <w:pPr>
              <w:spacing w:after="120"/>
              <w:rPr>
                <w:rFonts w:cs="Arial"/>
              </w:rPr>
            </w:pPr>
          </w:p>
        </w:tc>
      </w:tr>
      <w:tr w:rsidR="00EE18E7" w:rsidRPr="00224978" w14:paraId="37881105" w14:textId="77777777" w:rsidTr="00EE18E7">
        <w:tc>
          <w:tcPr>
            <w:tcW w:w="9016" w:type="dxa"/>
          </w:tcPr>
          <w:p w14:paraId="322198D2" w14:textId="77777777" w:rsidR="00EE18E7" w:rsidRPr="00224978" w:rsidRDefault="00EE18E7" w:rsidP="00EE18E7">
            <w:pPr>
              <w:spacing w:after="120"/>
              <w:rPr>
                <w:rFonts w:cs="Arial"/>
              </w:rPr>
            </w:pPr>
            <w:r w:rsidRPr="00224978">
              <w:rPr>
                <w:rFonts w:cs="Arial"/>
                <w:b/>
              </w:rPr>
              <w:t>Evidence</w:t>
            </w:r>
            <w:r w:rsidRPr="00224978">
              <w:rPr>
                <w:rFonts w:cs="Arial"/>
              </w:rPr>
              <w:t xml:space="preserve"> </w:t>
            </w:r>
          </w:p>
          <w:p w14:paraId="4DF0845C" w14:textId="77777777" w:rsidR="00EE18E7" w:rsidRPr="00224978" w:rsidRDefault="00EE18E7" w:rsidP="00EE18E7">
            <w:pPr>
              <w:spacing w:after="120"/>
              <w:rPr>
                <w:rFonts w:cs="Arial"/>
              </w:rPr>
            </w:pPr>
            <w:r w:rsidRPr="00224978">
              <w:rPr>
                <w:rFonts w:cs="Arial"/>
              </w:rPr>
              <w:lastRenderedPageBreak/>
              <w:t xml:space="preserve">. </w:t>
            </w:r>
          </w:p>
          <w:p w14:paraId="13D6EE7E" w14:textId="09FA4A76" w:rsidR="00EE18E7" w:rsidRPr="00224978" w:rsidRDefault="00EE18E7" w:rsidP="00EE18E7">
            <w:pPr>
              <w:spacing w:after="120"/>
              <w:rPr>
                <w:rFonts w:cs="Arial"/>
              </w:rPr>
            </w:pPr>
          </w:p>
        </w:tc>
      </w:tr>
      <w:tr w:rsidR="00EE18E7" w:rsidRPr="00224978" w14:paraId="1FB2BBF0" w14:textId="77777777" w:rsidTr="00EE18E7">
        <w:tc>
          <w:tcPr>
            <w:tcW w:w="9016" w:type="dxa"/>
          </w:tcPr>
          <w:p w14:paraId="1F128F9F" w14:textId="77777777" w:rsidR="00EE18E7" w:rsidRDefault="00EE18E7" w:rsidP="00EE18E7">
            <w:pPr>
              <w:spacing w:after="120"/>
              <w:rPr>
                <w:rFonts w:cs="Arial"/>
                <w:b/>
              </w:rPr>
            </w:pPr>
            <w:r>
              <w:rPr>
                <w:rFonts w:cs="Arial"/>
                <w:b/>
              </w:rPr>
              <w:lastRenderedPageBreak/>
              <w:t>Corrective actions/best practice to be adopted/improvements suggested by residents</w:t>
            </w:r>
          </w:p>
          <w:p w14:paraId="4BA1F7F8" w14:textId="77777777" w:rsidR="00EE18E7" w:rsidRPr="00224978" w:rsidRDefault="00EE18E7" w:rsidP="00EE18E7">
            <w:pPr>
              <w:spacing w:after="120"/>
              <w:rPr>
                <w:rFonts w:cs="Arial"/>
              </w:rPr>
            </w:pPr>
          </w:p>
        </w:tc>
      </w:tr>
      <w:tr w:rsidR="00E34E2D" w:rsidRPr="00224978" w14:paraId="7853939C" w14:textId="77777777" w:rsidTr="00EE18E7">
        <w:tc>
          <w:tcPr>
            <w:tcW w:w="9016" w:type="dxa"/>
            <w:shd w:val="clear" w:color="auto" w:fill="BFBFBF" w:themeFill="background1" w:themeFillShade="BF"/>
          </w:tcPr>
          <w:p w14:paraId="7A01BDF6" w14:textId="77777777" w:rsidR="00E347A4" w:rsidRPr="00224978" w:rsidRDefault="00E347A4" w:rsidP="009F0C67">
            <w:pPr>
              <w:spacing w:after="120"/>
            </w:pPr>
            <w:r w:rsidRPr="00224978">
              <w:t xml:space="preserve">2.3 Anti-social behaviour </w:t>
            </w:r>
          </w:p>
          <w:p w14:paraId="2FE17BB5" w14:textId="77777777" w:rsidR="00E34E2D" w:rsidRPr="00224978" w:rsidRDefault="00E347A4" w:rsidP="009F0C67">
            <w:pPr>
              <w:spacing w:after="120"/>
              <w:rPr>
                <w:rFonts w:cs="Arial"/>
              </w:rPr>
            </w:pPr>
            <w:r w:rsidRPr="00224978">
              <w:t>2.3.1 Registered providers shall publish a policy on how they work with relevant partners to prevent and tackle anti-social behaviour (ASB) in areas where they own properties.</w:t>
            </w:r>
          </w:p>
        </w:tc>
      </w:tr>
      <w:tr w:rsidR="00EE18E7" w:rsidRPr="00224978" w14:paraId="376052FC" w14:textId="77777777" w:rsidTr="00EE18E7">
        <w:tc>
          <w:tcPr>
            <w:tcW w:w="9016" w:type="dxa"/>
          </w:tcPr>
          <w:p w14:paraId="1F90BA99" w14:textId="77777777" w:rsidR="00EE18E7" w:rsidRDefault="00EE18E7" w:rsidP="00EE18E7">
            <w:pPr>
              <w:spacing w:after="120"/>
              <w:rPr>
                <w:rFonts w:cs="Arial"/>
                <w:b/>
              </w:rPr>
            </w:pPr>
            <w:r>
              <w:rPr>
                <w:rFonts w:cs="Arial"/>
                <w:b/>
              </w:rPr>
              <w:t xml:space="preserve">Assessment of compliance </w:t>
            </w:r>
          </w:p>
          <w:p w14:paraId="3952C51A" w14:textId="0E5352D5" w:rsidR="00EE18E7" w:rsidRPr="00224978" w:rsidRDefault="00EE18E7" w:rsidP="00EE18E7">
            <w:pPr>
              <w:spacing w:after="120"/>
              <w:rPr>
                <w:rFonts w:cs="Arial"/>
              </w:rPr>
            </w:pPr>
            <w:r w:rsidRPr="00EE18E7">
              <w:rPr>
                <w:rFonts w:cs="Arial"/>
                <w:b/>
                <w:color w:val="FF0000"/>
              </w:rPr>
              <w:t>Yes/No/Partial</w:t>
            </w:r>
          </w:p>
        </w:tc>
      </w:tr>
      <w:tr w:rsidR="00EE18E7" w:rsidRPr="00224978" w14:paraId="427289A6" w14:textId="77777777" w:rsidTr="00EE18E7">
        <w:tc>
          <w:tcPr>
            <w:tcW w:w="9016" w:type="dxa"/>
          </w:tcPr>
          <w:p w14:paraId="2D9D614A" w14:textId="77777777" w:rsidR="00EE18E7" w:rsidRPr="00224978" w:rsidRDefault="00EE18E7" w:rsidP="00EE18E7">
            <w:pPr>
              <w:spacing w:after="120"/>
              <w:rPr>
                <w:rFonts w:cs="Arial"/>
              </w:rPr>
            </w:pPr>
            <w:r w:rsidRPr="00224978">
              <w:rPr>
                <w:rFonts w:cs="Arial"/>
                <w:b/>
                <w:bCs/>
              </w:rPr>
              <w:t>Narrative</w:t>
            </w:r>
            <w:r w:rsidRPr="00224978">
              <w:rPr>
                <w:rFonts w:cs="Arial"/>
              </w:rPr>
              <w:t xml:space="preserve"> </w:t>
            </w:r>
          </w:p>
          <w:p w14:paraId="2727F1C3" w14:textId="77777777" w:rsidR="00EE18E7" w:rsidRPr="00224978" w:rsidRDefault="00EE18E7" w:rsidP="00EE18E7">
            <w:pPr>
              <w:spacing w:after="120"/>
              <w:rPr>
                <w:rFonts w:cs="Arial"/>
              </w:rPr>
            </w:pPr>
          </w:p>
        </w:tc>
      </w:tr>
      <w:tr w:rsidR="00EE18E7" w:rsidRPr="00224978" w14:paraId="0A818295" w14:textId="77777777" w:rsidTr="00EE18E7">
        <w:tc>
          <w:tcPr>
            <w:tcW w:w="9016" w:type="dxa"/>
          </w:tcPr>
          <w:p w14:paraId="09AA184C" w14:textId="77777777" w:rsidR="00EE18E7" w:rsidRPr="00224978" w:rsidRDefault="00EE18E7" w:rsidP="00EE18E7">
            <w:pPr>
              <w:spacing w:after="120"/>
              <w:rPr>
                <w:rFonts w:cs="Arial"/>
              </w:rPr>
            </w:pPr>
            <w:r w:rsidRPr="00224978">
              <w:rPr>
                <w:rFonts w:cs="Arial"/>
                <w:b/>
              </w:rPr>
              <w:t>Evidence</w:t>
            </w:r>
            <w:r w:rsidRPr="00224978">
              <w:rPr>
                <w:rFonts w:cs="Arial"/>
              </w:rPr>
              <w:t xml:space="preserve"> </w:t>
            </w:r>
          </w:p>
          <w:p w14:paraId="5D72C8DD" w14:textId="77777777" w:rsidR="00EE18E7" w:rsidRPr="00224978" w:rsidRDefault="00EE18E7" w:rsidP="00EE18E7">
            <w:pPr>
              <w:spacing w:after="120"/>
              <w:rPr>
                <w:rFonts w:cs="Arial"/>
              </w:rPr>
            </w:pPr>
            <w:r w:rsidRPr="00224978">
              <w:rPr>
                <w:rFonts w:cs="Arial"/>
              </w:rPr>
              <w:t xml:space="preserve">. </w:t>
            </w:r>
          </w:p>
          <w:p w14:paraId="38AE1C54" w14:textId="77777777" w:rsidR="00EE18E7" w:rsidRPr="00224978" w:rsidRDefault="00EE18E7" w:rsidP="00EE18E7">
            <w:pPr>
              <w:spacing w:after="120"/>
              <w:rPr>
                <w:rFonts w:cs="Arial"/>
              </w:rPr>
            </w:pPr>
          </w:p>
        </w:tc>
      </w:tr>
      <w:tr w:rsidR="00EE18E7" w:rsidRPr="00224978" w14:paraId="064E34F0" w14:textId="77777777" w:rsidTr="00EE18E7">
        <w:tc>
          <w:tcPr>
            <w:tcW w:w="9016" w:type="dxa"/>
          </w:tcPr>
          <w:p w14:paraId="1790BB67" w14:textId="77777777" w:rsidR="00EE18E7" w:rsidRDefault="00EE18E7" w:rsidP="00EE18E7">
            <w:pPr>
              <w:spacing w:after="120"/>
              <w:rPr>
                <w:rFonts w:cs="Arial"/>
                <w:b/>
              </w:rPr>
            </w:pPr>
            <w:r>
              <w:rPr>
                <w:rFonts w:cs="Arial"/>
                <w:b/>
              </w:rPr>
              <w:t>Corrective actions/best practice to be adopted/improvements suggested by residents</w:t>
            </w:r>
          </w:p>
          <w:p w14:paraId="257B4D38" w14:textId="2F0896A2" w:rsidR="00EE18E7" w:rsidRPr="00224978" w:rsidRDefault="00EE18E7" w:rsidP="00EE18E7">
            <w:pPr>
              <w:spacing w:after="120"/>
              <w:rPr>
                <w:rFonts w:cs="Arial"/>
              </w:rPr>
            </w:pPr>
          </w:p>
        </w:tc>
      </w:tr>
      <w:tr w:rsidR="00E34E2D" w:rsidRPr="00224978" w14:paraId="32CC2B0F" w14:textId="77777777" w:rsidTr="00EE18E7">
        <w:tc>
          <w:tcPr>
            <w:tcW w:w="9016" w:type="dxa"/>
            <w:shd w:val="clear" w:color="auto" w:fill="BFBFBF" w:themeFill="background1" w:themeFillShade="BF"/>
          </w:tcPr>
          <w:p w14:paraId="00987634" w14:textId="77777777" w:rsidR="00EE18E7" w:rsidRDefault="00E347A4" w:rsidP="009F0C67">
            <w:pPr>
              <w:spacing w:after="120"/>
            </w:pPr>
            <w:r w:rsidRPr="00224978">
              <w:t xml:space="preserve">2.3.2 In their work to prevent and address ASB, registered providers shall demonstrate: </w:t>
            </w:r>
          </w:p>
          <w:p w14:paraId="0E862324" w14:textId="277C1F7C" w:rsidR="00EE18E7" w:rsidRDefault="00E347A4" w:rsidP="009F0C67">
            <w:pPr>
              <w:spacing w:after="120"/>
            </w:pPr>
            <w:r w:rsidRPr="00224978">
              <w:t xml:space="preserve">a) that tenants are made aware of their responsibilities and rights in relation to ASB </w:t>
            </w:r>
          </w:p>
          <w:p w14:paraId="2EEB6F8C" w14:textId="77777777" w:rsidR="00EE18E7" w:rsidRDefault="00E347A4" w:rsidP="009F0C67">
            <w:pPr>
              <w:spacing w:after="120"/>
            </w:pPr>
            <w:r w:rsidRPr="00224978">
              <w:t>b) strong leadership, commitment and accountability on preventing and tackling ASB that reflects a shared understanding of responsibilities with other local agencies</w:t>
            </w:r>
          </w:p>
          <w:p w14:paraId="6A9C25EB" w14:textId="77777777" w:rsidR="00EE18E7" w:rsidRDefault="00EE18E7" w:rsidP="009F0C67">
            <w:pPr>
              <w:spacing w:after="120"/>
            </w:pPr>
            <w:r>
              <w:t>c</w:t>
            </w:r>
            <w:r w:rsidR="00E347A4" w:rsidRPr="00224978">
              <w:t xml:space="preserve">) a strong focus exists on preventative measures tailored towards the needs of tenants and their families </w:t>
            </w:r>
          </w:p>
          <w:p w14:paraId="6386319E" w14:textId="77777777" w:rsidR="00EE18E7" w:rsidRDefault="00E347A4" w:rsidP="009F0C67">
            <w:pPr>
              <w:spacing w:after="120"/>
            </w:pPr>
            <w:r w:rsidRPr="00224978">
              <w:t xml:space="preserve">d) prompt, appropriate and decisive action is taken to deal with ASB before it escalates, which focuses on resolving the problem having regard to the full range of tools and legal powers available </w:t>
            </w:r>
          </w:p>
          <w:p w14:paraId="31D63060" w14:textId="77777777" w:rsidR="00EE18E7" w:rsidRDefault="00E347A4" w:rsidP="009F0C67">
            <w:pPr>
              <w:spacing w:after="120"/>
            </w:pPr>
            <w:r w:rsidRPr="00224978">
              <w:t xml:space="preserve">e) all tenants and residents can easily report ASB, are kept informed about the status of their case where responsibility rests with the organisation and are appropriately signposted where it does not </w:t>
            </w:r>
          </w:p>
          <w:p w14:paraId="01519BA1" w14:textId="2CC58D9B" w:rsidR="00E34E2D" w:rsidRPr="00224978" w:rsidRDefault="00E347A4" w:rsidP="009F0C67">
            <w:pPr>
              <w:spacing w:after="120"/>
              <w:rPr>
                <w:rFonts w:cs="Arial"/>
              </w:rPr>
            </w:pPr>
            <w:r w:rsidRPr="00224978">
              <w:t>f) provision of support to victims and witnesses</w:t>
            </w:r>
          </w:p>
        </w:tc>
      </w:tr>
      <w:tr w:rsidR="00EE18E7" w:rsidRPr="00224978" w14:paraId="5CEA1380" w14:textId="77777777" w:rsidTr="00EE18E7">
        <w:tc>
          <w:tcPr>
            <w:tcW w:w="9016" w:type="dxa"/>
          </w:tcPr>
          <w:p w14:paraId="043F45FA" w14:textId="77777777" w:rsidR="00EE18E7" w:rsidRDefault="00EE18E7" w:rsidP="00EE18E7">
            <w:pPr>
              <w:spacing w:after="120"/>
              <w:rPr>
                <w:rFonts w:cs="Arial"/>
                <w:b/>
              </w:rPr>
            </w:pPr>
            <w:r>
              <w:rPr>
                <w:rFonts w:cs="Arial"/>
                <w:b/>
              </w:rPr>
              <w:t xml:space="preserve">Assessment of compliance </w:t>
            </w:r>
          </w:p>
          <w:p w14:paraId="5D9CA16F" w14:textId="0A6C3CA6" w:rsidR="00EE18E7" w:rsidRPr="00224978" w:rsidRDefault="00EE18E7" w:rsidP="00EE18E7">
            <w:pPr>
              <w:spacing w:after="120"/>
              <w:rPr>
                <w:rFonts w:cs="Arial"/>
              </w:rPr>
            </w:pPr>
            <w:r w:rsidRPr="00EE18E7">
              <w:rPr>
                <w:rFonts w:cs="Arial"/>
                <w:b/>
                <w:color w:val="FF0000"/>
              </w:rPr>
              <w:t>Yes/No/Partial</w:t>
            </w:r>
          </w:p>
        </w:tc>
      </w:tr>
      <w:tr w:rsidR="00EE18E7" w:rsidRPr="00224978" w14:paraId="561B443C" w14:textId="77777777" w:rsidTr="00EE18E7">
        <w:tc>
          <w:tcPr>
            <w:tcW w:w="9016" w:type="dxa"/>
          </w:tcPr>
          <w:p w14:paraId="755F61F3" w14:textId="77777777" w:rsidR="00EE18E7" w:rsidRPr="00224978" w:rsidRDefault="00EE18E7" w:rsidP="00EE18E7">
            <w:pPr>
              <w:spacing w:after="120"/>
              <w:rPr>
                <w:rFonts w:cs="Arial"/>
              </w:rPr>
            </w:pPr>
            <w:r w:rsidRPr="00224978">
              <w:rPr>
                <w:rFonts w:cs="Arial"/>
                <w:b/>
                <w:bCs/>
              </w:rPr>
              <w:t>Narrative</w:t>
            </w:r>
            <w:r w:rsidRPr="00224978">
              <w:rPr>
                <w:rFonts w:cs="Arial"/>
              </w:rPr>
              <w:t xml:space="preserve"> </w:t>
            </w:r>
          </w:p>
          <w:p w14:paraId="0995E267" w14:textId="5F922942" w:rsidR="00EE18E7" w:rsidRPr="00224978" w:rsidRDefault="00EE18E7" w:rsidP="00EE18E7">
            <w:pPr>
              <w:spacing w:after="120"/>
              <w:rPr>
                <w:rFonts w:cs="Arial"/>
              </w:rPr>
            </w:pPr>
          </w:p>
        </w:tc>
      </w:tr>
      <w:tr w:rsidR="00EE18E7" w:rsidRPr="00224978" w14:paraId="2BFBF6F6" w14:textId="77777777" w:rsidTr="00EE18E7">
        <w:tc>
          <w:tcPr>
            <w:tcW w:w="9016" w:type="dxa"/>
          </w:tcPr>
          <w:p w14:paraId="673DA993" w14:textId="1E39C893" w:rsidR="00EE18E7" w:rsidRDefault="00EE18E7" w:rsidP="00EE18E7">
            <w:pPr>
              <w:spacing w:after="120"/>
              <w:rPr>
                <w:rFonts w:cs="Arial"/>
              </w:rPr>
            </w:pPr>
            <w:r w:rsidRPr="00224978">
              <w:rPr>
                <w:rFonts w:cs="Arial"/>
                <w:b/>
              </w:rPr>
              <w:t>Evidence</w:t>
            </w:r>
            <w:r w:rsidRPr="00224978">
              <w:rPr>
                <w:rFonts w:cs="Arial"/>
              </w:rPr>
              <w:t xml:space="preserve"> </w:t>
            </w:r>
          </w:p>
          <w:p w14:paraId="29D065A7" w14:textId="1E7E9A7E" w:rsidR="00EE18E7" w:rsidRDefault="00EE18E7" w:rsidP="00EE18E7">
            <w:pPr>
              <w:spacing w:after="120"/>
              <w:rPr>
                <w:rFonts w:cs="Arial"/>
              </w:rPr>
            </w:pPr>
            <w:r>
              <w:rPr>
                <w:rFonts w:cs="Arial"/>
              </w:rPr>
              <w:t>A</w:t>
            </w:r>
          </w:p>
          <w:p w14:paraId="79F9897E" w14:textId="20736C57" w:rsidR="00EE18E7" w:rsidRDefault="00EE18E7" w:rsidP="00EE18E7">
            <w:pPr>
              <w:spacing w:after="120"/>
              <w:rPr>
                <w:rFonts w:cs="Arial"/>
              </w:rPr>
            </w:pPr>
            <w:r>
              <w:rPr>
                <w:rFonts w:cs="Arial"/>
              </w:rPr>
              <w:t>B</w:t>
            </w:r>
          </w:p>
          <w:p w14:paraId="06684603" w14:textId="30719F32" w:rsidR="00EE18E7" w:rsidRDefault="00EE18E7" w:rsidP="00EE18E7">
            <w:pPr>
              <w:spacing w:after="120"/>
              <w:rPr>
                <w:rFonts w:cs="Arial"/>
              </w:rPr>
            </w:pPr>
            <w:r>
              <w:rPr>
                <w:rFonts w:cs="Arial"/>
              </w:rPr>
              <w:t>C</w:t>
            </w:r>
          </w:p>
          <w:p w14:paraId="16A00485" w14:textId="01CEA3A6" w:rsidR="00EE18E7" w:rsidRDefault="00EE18E7" w:rsidP="00EE18E7">
            <w:pPr>
              <w:spacing w:after="120"/>
              <w:rPr>
                <w:rFonts w:cs="Arial"/>
              </w:rPr>
            </w:pPr>
            <w:r>
              <w:rPr>
                <w:rFonts w:cs="Arial"/>
              </w:rPr>
              <w:lastRenderedPageBreak/>
              <w:t>D</w:t>
            </w:r>
          </w:p>
          <w:p w14:paraId="133FBA38" w14:textId="271B424E" w:rsidR="00EE18E7" w:rsidRDefault="00EE18E7" w:rsidP="00EE18E7">
            <w:pPr>
              <w:spacing w:after="120"/>
              <w:rPr>
                <w:rFonts w:cs="Arial"/>
              </w:rPr>
            </w:pPr>
            <w:r>
              <w:rPr>
                <w:rFonts w:cs="Arial"/>
              </w:rPr>
              <w:t>E</w:t>
            </w:r>
          </w:p>
          <w:p w14:paraId="6F15A230" w14:textId="356D5FED" w:rsidR="00EE18E7" w:rsidRPr="00224978" w:rsidRDefault="00EE18E7" w:rsidP="00EE18E7">
            <w:pPr>
              <w:spacing w:after="120"/>
              <w:rPr>
                <w:rFonts w:cs="Arial"/>
              </w:rPr>
            </w:pPr>
            <w:r>
              <w:rPr>
                <w:rFonts w:cs="Arial"/>
              </w:rPr>
              <w:t>F</w:t>
            </w:r>
          </w:p>
        </w:tc>
      </w:tr>
      <w:tr w:rsidR="00EE18E7" w:rsidRPr="00224978" w14:paraId="42AACFB6" w14:textId="77777777" w:rsidTr="00EE18E7">
        <w:tc>
          <w:tcPr>
            <w:tcW w:w="9016" w:type="dxa"/>
          </w:tcPr>
          <w:p w14:paraId="555E5042" w14:textId="77777777" w:rsidR="00EE18E7" w:rsidRDefault="00EE18E7" w:rsidP="00EE18E7">
            <w:pPr>
              <w:spacing w:after="120"/>
              <w:rPr>
                <w:rFonts w:cs="Arial"/>
                <w:b/>
              </w:rPr>
            </w:pPr>
            <w:r>
              <w:rPr>
                <w:rFonts w:cs="Arial"/>
                <w:b/>
              </w:rPr>
              <w:lastRenderedPageBreak/>
              <w:t>Corrective actions/best practice to be adopted/improvements suggested by residents</w:t>
            </w:r>
          </w:p>
          <w:p w14:paraId="3A149527" w14:textId="77777777" w:rsidR="00EE18E7" w:rsidRPr="00224978" w:rsidRDefault="00EE18E7" w:rsidP="00EE18E7">
            <w:pPr>
              <w:spacing w:after="120"/>
              <w:rPr>
                <w:rFonts w:cs="Arial"/>
              </w:rPr>
            </w:pPr>
          </w:p>
        </w:tc>
      </w:tr>
    </w:tbl>
    <w:p w14:paraId="7C3E0804" w14:textId="77777777" w:rsidR="00232447" w:rsidRPr="00224978" w:rsidRDefault="00232447" w:rsidP="00232447">
      <w:pPr>
        <w:spacing w:after="120"/>
        <w:rPr>
          <w:rFonts w:cs="Arial"/>
        </w:rPr>
      </w:pPr>
    </w:p>
    <w:p w14:paraId="24469441" w14:textId="77777777" w:rsidR="00DC5D04" w:rsidRPr="00224978" w:rsidRDefault="00DC5D04" w:rsidP="00232447">
      <w:pPr>
        <w:spacing w:after="120"/>
        <w:rPr>
          <w:rFonts w:cs="Arial"/>
        </w:rPr>
      </w:pPr>
    </w:p>
    <w:sectPr w:rsidR="00DC5D04" w:rsidRPr="0022497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56DD4" w14:textId="77777777" w:rsidR="001A0575" w:rsidRDefault="001A0575" w:rsidP="00FA5FFB">
      <w:pPr>
        <w:spacing w:after="0" w:line="240" w:lineRule="auto"/>
      </w:pPr>
      <w:r>
        <w:separator/>
      </w:r>
    </w:p>
  </w:endnote>
  <w:endnote w:type="continuationSeparator" w:id="0">
    <w:p w14:paraId="1EA971B0" w14:textId="77777777" w:rsidR="001A0575" w:rsidRDefault="001A0575" w:rsidP="00FA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23A09" w14:textId="77777777" w:rsidR="001A0575" w:rsidRDefault="001A0575" w:rsidP="00FA5FFB">
      <w:pPr>
        <w:spacing w:after="0" w:line="240" w:lineRule="auto"/>
      </w:pPr>
      <w:r>
        <w:separator/>
      </w:r>
    </w:p>
  </w:footnote>
  <w:footnote w:type="continuationSeparator" w:id="0">
    <w:p w14:paraId="424283B7" w14:textId="77777777" w:rsidR="001A0575" w:rsidRDefault="001A0575" w:rsidP="00FA5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F0A9" w14:textId="7BB0B32A" w:rsidR="009A2276" w:rsidRDefault="009A2276" w:rsidP="009A2276">
    <w:pPr>
      <w:pStyle w:val="Header"/>
      <w:jc w:val="both"/>
    </w:pPr>
    <w:r>
      <w:tab/>
    </w:r>
    <w:r>
      <w:tab/>
    </w:r>
    <w:r w:rsidR="00EE18E7">
      <w:t>blank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4E21"/>
    <w:multiLevelType w:val="hybridMultilevel"/>
    <w:tmpl w:val="243A4D84"/>
    <w:lvl w:ilvl="0" w:tplc="B62E82B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B6E13"/>
    <w:multiLevelType w:val="multilevel"/>
    <w:tmpl w:val="25EE7266"/>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9222D5C"/>
    <w:multiLevelType w:val="hybridMultilevel"/>
    <w:tmpl w:val="926E0F08"/>
    <w:lvl w:ilvl="0" w:tplc="A5F056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2D4EE8"/>
    <w:multiLevelType w:val="multilevel"/>
    <w:tmpl w:val="C3BA427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47"/>
    <w:rsid w:val="000011C2"/>
    <w:rsid w:val="00064CCB"/>
    <w:rsid w:val="0007639C"/>
    <w:rsid w:val="000B1D84"/>
    <w:rsid w:val="001155AD"/>
    <w:rsid w:val="00182966"/>
    <w:rsid w:val="0019394F"/>
    <w:rsid w:val="001A0575"/>
    <w:rsid w:val="001A2E62"/>
    <w:rsid w:val="001A5A0F"/>
    <w:rsid w:val="001C1A38"/>
    <w:rsid w:val="001D66D6"/>
    <w:rsid w:val="002121D2"/>
    <w:rsid w:val="00224978"/>
    <w:rsid w:val="00232447"/>
    <w:rsid w:val="00280219"/>
    <w:rsid w:val="002A7AAD"/>
    <w:rsid w:val="002D15F6"/>
    <w:rsid w:val="00310849"/>
    <w:rsid w:val="00335AEA"/>
    <w:rsid w:val="00347F12"/>
    <w:rsid w:val="00391846"/>
    <w:rsid w:val="003A6707"/>
    <w:rsid w:val="003D7764"/>
    <w:rsid w:val="003E71D8"/>
    <w:rsid w:val="00416B36"/>
    <w:rsid w:val="004254B1"/>
    <w:rsid w:val="004323BF"/>
    <w:rsid w:val="00447FEB"/>
    <w:rsid w:val="00496971"/>
    <w:rsid w:val="00501B09"/>
    <w:rsid w:val="00536BF9"/>
    <w:rsid w:val="00541605"/>
    <w:rsid w:val="0054678D"/>
    <w:rsid w:val="005F603C"/>
    <w:rsid w:val="006019FA"/>
    <w:rsid w:val="006A0DB5"/>
    <w:rsid w:val="006B3460"/>
    <w:rsid w:val="006D4A25"/>
    <w:rsid w:val="0071656B"/>
    <w:rsid w:val="0078680E"/>
    <w:rsid w:val="00842C6C"/>
    <w:rsid w:val="00842F74"/>
    <w:rsid w:val="00846EB7"/>
    <w:rsid w:val="008E117E"/>
    <w:rsid w:val="0097499C"/>
    <w:rsid w:val="009760E0"/>
    <w:rsid w:val="009A0A90"/>
    <w:rsid w:val="009A2276"/>
    <w:rsid w:val="009A47E5"/>
    <w:rsid w:val="009F4B59"/>
    <w:rsid w:val="00A40553"/>
    <w:rsid w:val="00A464C3"/>
    <w:rsid w:val="00AF5C75"/>
    <w:rsid w:val="00B10C90"/>
    <w:rsid w:val="00B77769"/>
    <w:rsid w:val="00B9167C"/>
    <w:rsid w:val="00BD4868"/>
    <w:rsid w:val="00C55814"/>
    <w:rsid w:val="00C84B84"/>
    <w:rsid w:val="00C85525"/>
    <w:rsid w:val="00CC413B"/>
    <w:rsid w:val="00D15F47"/>
    <w:rsid w:val="00D21A07"/>
    <w:rsid w:val="00DC0144"/>
    <w:rsid w:val="00DC5D04"/>
    <w:rsid w:val="00E04A06"/>
    <w:rsid w:val="00E07C7D"/>
    <w:rsid w:val="00E20802"/>
    <w:rsid w:val="00E25457"/>
    <w:rsid w:val="00E25C87"/>
    <w:rsid w:val="00E347A4"/>
    <w:rsid w:val="00E34E2D"/>
    <w:rsid w:val="00EA5B00"/>
    <w:rsid w:val="00EB039D"/>
    <w:rsid w:val="00EE00C1"/>
    <w:rsid w:val="00EE18E7"/>
    <w:rsid w:val="00F63661"/>
    <w:rsid w:val="00FA5FFB"/>
    <w:rsid w:val="00FC08A4"/>
    <w:rsid w:val="67DCF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D8AC"/>
  <w15:docId w15:val="{0C29E62B-B019-4D63-9FA2-F5C6ADAD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0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0C1"/>
    <w:rPr>
      <w:rFonts w:ascii="Tahoma" w:hAnsi="Tahoma" w:cs="Tahoma"/>
      <w:sz w:val="16"/>
      <w:szCs w:val="16"/>
    </w:rPr>
  </w:style>
  <w:style w:type="paragraph" w:styleId="ListParagraph">
    <w:name w:val="List Paragraph"/>
    <w:basedOn w:val="Normal"/>
    <w:uiPriority w:val="34"/>
    <w:qFormat/>
    <w:rsid w:val="005F603C"/>
    <w:pPr>
      <w:ind w:left="720"/>
      <w:contextualSpacing/>
    </w:pPr>
  </w:style>
  <w:style w:type="paragraph" w:styleId="Header">
    <w:name w:val="header"/>
    <w:basedOn w:val="Normal"/>
    <w:link w:val="HeaderChar"/>
    <w:uiPriority w:val="99"/>
    <w:unhideWhenUsed/>
    <w:rsid w:val="00FA5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FFB"/>
  </w:style>
  <w:style w:type="paragraph" w:styleId="Footer">
    <w:name w:val="footer"/>
    <w:basedOn w:val="Normal"/>
    <w:link w:val="FooterChar"/>
    <w:uiPriority w:val="99"/>
    <w:unhideWhenUsed/>
    <w:rsid w:val="00FA5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86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E29CA-21F7-4695-993F-2ECFCF6F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546</Words>
  <Characters>3118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dc:creator>
  <cp:lastModifiedBy>YVONNE DAVIES</cp:lastModifiedBy>
  <cp:revision>2</cp:revision>
  <cp:lastPrinted>2019-01-31T13:23:00Z</cp:lastPrinted>
  <dcterms:created xsi:type="dcterms:W3CDTF">2020-02-11T09:53:00Z</dcterms:created>
  <dcterms:modified xsi:type="dcterms:W3CDTF">2020-02-11T09:53:00Z</dcterms:modified>
</cp:coreProperties>
</file>