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9056" w14:textId="677AFCCD" w:rsidR="00A771F8" w:rsidRPr="009454B7" w:rsidRDefault="00A771F8" w:rsidP="00A771F8">
      <w:pPr>
        <w:jc w:val="center"/>
        <w:rPr>
          <w:rFonts w:cstheme="minorHAnsi"/>
          <w:b/>
          <w:bCs/>
          <w:sz w:val="24"/>
          <w:szCs w:val="24"/>
        </w:rPr>
      </w:pPr>
      <w:r w:rsidRPr="009454B7">
        <w:rPr>
          <w:rFonts w:cstheme="minorHAnsi"/>
          <w:b/>
          <w:bCs/>
          <w:sz w:val="24"/>
          <w:szCs w:val="24"/>
        </w:rPr>
        <w:t>Draft Buildings Safety Bill</w:t>
      </w:r>
    </w:p>
    <w:p w14:paraId="06E712B5" w14:textId="77777777" w:rsidR="00A771F8" w:rsidRPr="009454B7" w:rsidRDefault="00A771F8" w:rsidP="00E861C3">
      <w:pPr>
        <w:rPr>
          <w:rFonts w:cstheme="minorHAnsi"/>
          <w:color w:val="4472C4" w:themeColor="accent1"/>
          <w:sz w:val="24"/>
          <w:szCs w:val="24"/>
        </w:rPr>
      </w:pPr>
    </w:p>
    <w:p w14:paraId="639A08EA" w14:textId="7054F926" w:rsidR="00E861C3" w:rsidRPr="009454B7" w:rsidRDefault="00E861C3" w:rsidP="00E861C3">
      <w:pPr>
        <w:rPr>
          <w:rFonts w:cstheme="minorHAnsi"/>
          <w:color w:val="4472C4" w:themeColor="accent1"/>
          <w:sz w:val="24"/>
          <w:szCs w:val="24"/>
        </w:rPr>
      </w:pPr>
      <w:r w:rsidRPr="009454B7">
        <w:rPr>
          <w:rFonts w:cstheme="minorHAnsi"/>
          <w:color w:val="4472C4" w:themeColor="accent1"/>
          <w:sz w:val="24"/>
          <w:szCs w:val="24"/>
        </w:rPr>
        <w:t xml:space="preserve">On 20th January, the government confirmed the Health and Safety Executive (HSE) will started to establish the new Building Safety Regulator </w:t>
      </w:r>
      <w:r w:rsidR="00462235" w:rsidRPr="009454B7">
        <w:rPr>
          <w:rFonts w:cstheme="minorHAnsi"/>
          <w:color w:val="4472C4" w:themeColor="accent1"/>
          <w:sz w:val="24"/>
          <w:szCs w:val="24"/>
        </w:rPr>
        <w:t xml:space="preserve">(BSR) </w:t>
      </w:r>
      <w:r w:rsidRPr="009454B7">
        <w:rPr>
          <w:rFonts w:cstheme="minorHAnsi"/>
          <w:color w:val="4472C4" w:themeColor="accent1"/>
          <w:sz w:val="24"/>
          <w:szCs w:val="24"/>
        </w:rPr>
        <w:t>in shadow form, ahead of it being fully established and following legislation.</w:t>
      </w:r>
    </w:p>
    <w:p w14:paraId="2754F684" w14:textId="5689DAF0" w:rsidR="00E861C3" w:rsidRPr="009454B7" w:rsidRDefault="00E861C3" w:rsidP="00E861C3">
      <w:pPr>
        <w:rPr>
          <w:rFonts w:cstheme="minorHAnsi"/>
          <w:sz w:val="24"/>
          <w:szCs w:val="24"/>
        </w:rPr>
      </w:pPr>
      <w:r w:rsidRPr="009454B7">
        <w:rPr>
          <w:rFonts w:cstheme="minorHAnsi"/>
          <w:color w:val="4472C4" w:themeColor="accent1"/>
          <w:sz w:val="24"/>
          <w:szCs w:val="24"/>
        </w:rPr>
        <w:t>It aims to raise building safety and performance standards, including overseeing a new, more stringent regime for higher-risk buildings</w:t>
      </w:r>
      <w:r w:rsidRPr="009454B7">
        <w:rPr>
          <w:rFonts w:cstheme="minorHAnsi"/>
          <w:sz w:val="24"/>
          <w:szCs w:val="24"/>
        </w:rPr>
        <w:t>.</w:t>
      </w:r>
    </w:p>
    <w:p w14:paraId="230F4782" w14:textId="31B23701" w:rsidR="002B26DE" w:rsidRPr="009454B7" w:rsidRDefault="00E861C3">
      <w:pPr>
        <w:rPr>
          <w:rFonts w:cstheme="minorHAnsi"/>
          <w:i/>
          <w:iCs/>
          <w:sz w:val="24"/>
          <w:szCs w:val="24"/>
        </w:rPr>
      </w:pPr>
      <w:r w:rsidRPr="009454B7">
        <w:rPr>
          <w:rFonts w:cstheme="minorHAnsi"/>
          <w:i/>
          <w:iCs/>
          <w:sz w:val="24"/>
          <w:szCs w:val="24"/>
        </w:rPr>
        <w:t>“</w:t>
      </w:r>
      <w:r w:rsidR="009D31CE" w:rsidRPr="009454B7">
        <w:rPr>
          <w:rFonts w:cstheme="minorHAnsi"/>
          <w:i/>
          <w:iCs/>
          <w:sz w:val="24"/>
          <w:szCs w:val="24"/>
        </w:rPr>
        <w:t>Residents are being placed at the heart of Government plans for the biggest building regulation reforms in nearly 40 years”.</w:t>
      </w:r>
    </w:p>
    <w:p w14:paraId="4878C7BA" w14:textId="06830505" w:rsidR="009D31CE" w:rsidRPr="009454B7" w:rsidRDefault="009D31CE">
      <w:pPr>
        <w:rPr>
          <w:rFonts w:cstheme="minorHAnsi"/>
          <w:sz w:val="24"/>
          <w:szCs w:val="24"/>
        </w:rPr>
      </w:pPr>
      <w:r w:rsidRPr="009454B7">
        <w:rPr>
          <w:rFonts w:cstheme="minorHAnsi"/>
          <w:sz w:val="24"/>
          <w:szCs w:val="24"/>
        </w:rPr>
        <w:t>In July, the Government published the draft</w:t>
      </w:r>
      <w:r w:rsidR="00AB126C" w:rsidRPr="009454B7">
        <w:rPr>
          <w:rFonts w:cstheme="minorHAnsi"/>
          <w:sz w:val="24"/>
          <w:szCs w:val="24"/>
        </w:rPr>
        <w:t xml:space="preserve"> </w:t>
      </w:r>
      <w:hyperlink r:id="rId5" w:history="1">
        <w:r w:rsidR="00AB126C" w:rsidRPr="009454B7">
          <w:rPr>
            <w:rStyle w:val="Hyperlink"/>
            <w:rFonts w:cstheme="minorHAnsi"/>
            <w:sz w:val="24"/>
            <w:szCs w:val="24"/>
          </w:rPr>
          <w:t>Building Safety Bill</w:t>
        </w:r>
      </w:hyperlink>
      <w:r w:rsidRPr="009454B7">
        <w:rPr>
          <w:rFonts w:cstheme="minorHAnsi"/>
          <w:sz w:val="24"/>
          <w:szCs w:val="24"/>
        </w:rPr>
        <w:t xml:space="preserve">, which is based on the recommendations from </w:t>
      </w:r>
      <w:hyperlink r:id="rId6" w:history="1">
        <w:r w:rsidR="00AB126C" w:rsidRPr="009454B7">
          <w:rPr>
            <w:rStyle w:val="Hyperlink"/>
            <w:rFonts w:cstheme="minorHAnsi"/>
            <w:sz w:val="24"/>
            <w:szCs w:val="24"/>
          </w:rPr>
          <w:t>Dame Judith Hackitt’s ‘Building a Safer Future’</w:t>
        </w:r>
      </w:hyperlink>
      <w:r w:rsidR="00AB126C" w:rsidRPr="009454B7">
        <w:rPr>
          <w:rFonts w:cstheme="minorHAnsi"/>
          <w:sz w:val="24"/>
          <w:szCs w:val="24"/>
        </w:rPr>
        <w:t xml:space="preserve"> </w:t>
      </w:r>
      <w:r w:rsidRPr="009454B7">
        <w:rPr>
          <w:rFonts w:cstheme="minorHAnsi"/>
          <w:sz w:val="24"/>
          <w:szCs w:val="24"/>
        </w:rPr>
        <w:t>review of building regulations and fire safety following the Grenfell Tower fire, and the draft document is currently under review by committee, before being formally presented to the House of Commons.</w:t>
      </w:r>
      <w:r w:rsidR="005765FF" w:rsidRPr="009454B7">
        <w:rPr>
          <w:rFonts w:cstheme="minorHAnsi"/>
          <w:sz w:val="24"/>
          <w:szCs w:val="24"/>
        </w:rPr>
        <w:t xml:space="preserve"> The views of stakeholders are being taken into account at this committee stage.</w:t>
      </w:r>
    </w:p>
    <w:p w14:paraId="390620E7" w14:textId="642BDCA8" w:rsidR="009D31CE" w:rsidRPr="009454B7" w:rsidRDefault="009D31CE">
      <w:pPr>
        <w:rPr>
          <w:rFonts w:cstheme="minorHAnsi"/>
          <w:sz w:val="24"/>
          <w:szCs w:val="24"/>
        </w:rPr>
      </w:pPr>
      <w:r w:rsidRPr="009454B7">
        <w:rPr>
          <w:rFonts w:cstheme="minorHAnsi"/>
          <w:sz w:val="24"/>
          <w:szCs w:val="24"/>
        </w:rPr>
        <w:t>Key measures include the creation of a national Building Safety Regulator (BSR), which will implement and enforce new safety standards for high-rise buildings, a greater voice for residents in implementing new rules, and a more robust complaints handling procedure.</w:t>
      </w:r>
    </w:p>
    <w:p w14:paraId="01BCF619" w14:textId="4D38D455" w:rsidR="00E861C3" w:rsidRPr="009454B7" w:rsidRDefault="00E861C3">
      <w:pPr>
        <w:rPr>
          <w:rFonts w:cstheme="minorHAnsi"/>
          <w:sz w:val="24"/>
          <w:szCs w:val="24"/>
        </w:rPr>
      </w:pPr>
      <w:r w:rsidRPr="009454B7">
        <w:rPr>
          <w:rFonts w:cstheme="minorHAnsi"/>
          <w:b/>
          <w:bCs/>
          <w:sz w:val="24"/>
          <w:szCs w:val="24"/>
        </w:rPr>
        <w:t>In July 2020</w:t>
      </w:r>
      <w:r w:rsidRPr="009454B7">
        <w:rPr>
          <w:rFonts w:cstheme="minorHAnsi"/>
          <w:sz w:val="24"/>
          <w:szCs w:val="24"/>
        </w:rPr>
        <w:t xml:space="preserve">, a circular letter drew attention to landlords about changes to safety procedures </w:t>
      </w:r>
    </w:p>
    <w:p w14:paraId="1D903732" w14:textId="29597DF9" w:rsidR="00E861C3" w:rsidRPr="009454B7" w:rsidRDefault="00DB57B4">
      <w:pPr>
        <w:rPr>
          <w:rFonts w:cstheme="minorHAnsi"/>
          <w:sz w:val="24"/>
          <w:szCs w:val="24"/>
        </w:rPr>
      </w:pPr>
      <w:hyperlink r:id="rId7" w:history="1">
        <w:r w:rsidR="00E861C3" w:rsidRPr="009454B7">
          <w:rPr>
            <w:rStyle w:val="Hyperlink"/>
            <w:rFonts w:cstheme="minorHAnsi"/>
            <w:sz w:val="24"/>
            <w:szCs w:val="24"/>
          </w:rPr>
          <w:t>https://assets.publishing.service.gov.uk/government/uploads/system/uploads/attachment_data/file/900943/Circular_letter_-_July_2020_update.pdf</w:t>
        </w:r>
      </w:hyperlink>
      <w:r w:rsidR="00E861C3" w:rsidRPr="009454B7">
        <w:rPr>
          <w:rFonts w:cstheme="minorHAnsi"/>
          <w:sz w:val="24"/>
          <w:szCs w:val="24"/>
        </w:rPr>
        <w:t xml:space="preserve"> </w:t>
      </w:r>
    </w:p>
    <w:p w14:paraId="1216586E" w14:textId="223046F5" w:rsidR="009D31CE" w:rsidRPr="009454B7" w:rsidRDefault="00E861C3">
      <w:pPr>
        <w:rPr>
          <w:rFonts w:cstheme="minorHAnsi"/>
          <w:sz w:val="24"/>
          <w:szCs w:val="24"/>
        </w:rPr>
      </w:pPr>
      <w:r w:rsidRPr="009454B7">
        <w:rPr>
          <w:rFonts w:cstheme="minorHAnsi"/>
          <w:sz w:val="24"/>
          <w:szCs w:val="24"/>
        </w:rPr>
        <w:t xml:space="preserve">The </w:t>
      </w:r>
      <w:r w:rsidR="009D31CE" w:rsidRPr="009454B7">
        <w:rPr>
          <w:rFonts w:cstheme="minorHAnsi"/>
          <w:sz w:val="24"/>
          <w:szCs w:val="24"/>
        </w:rPr>
        <w:t>draft Building Safety Bill  ai</w:t>
      </w:r>
      <w:r w:rsidRPr="009454B7">
        <w:rPr>
          <w:rFonts w:cstheme="minorHAnsi"/>
          <w:sz w:val="24"/>
          <w:szCs w:val="24"/>
        </w:rPr>
        <w:t>ms to</w:t>
      </w:r>
      <w:r w:rsidR="009D31CE" w:rsidRPr="009454B7">
        <w:rPr>
          <w:rFonts w:cstheme="minorHAnsi"/>
          <w:sz w:val="24"/>
          <w:szCs w:val="24"/>
        </w:rPr>
        <w:t xml:space="preserve"> work in tandem with the</w:t>
      </w:r>
      <w:r w:rsidR="003E710D" w:rsidRPr="009454B7">
        <w:rPr>
          <w:rFonts w:cstheme="minorHAnsi"/>
          <w:sz w:val="24"/>
          <w:szCs w:val="24"/>
        </w:rPr>
        <w:t xml:space="preserve"> </w:t>
      </w:r>
      <w:hyperlink r:id="rId8" w:history="1">
        <w:r w:rsidR="003E710D" w:rsidRPr="009454B7">
          <w:rPr>
            <w:rStyle w:val="Hyperlink"/>
            <w:rFonts w:cstheme="minorHAnsi"/>
            <w:b/>
            <w:bCs/>
            <w:sz w:val="24"/>
            <w:szCs w:val="24"/>
          </w:rPr>
          <w:t>Fire Safety Bill</w:t>
        </w:r>
      </w:hyperlink>
      <w:r w:rsidR="003E710D" w:rsidRPr="009454B7">
        <w:rPr>
          <w:rFonts w:cstheme="minorHAnsi"/>
          <w:sz w:val="24"/>
          <w:szCs w:val="24"/>
        </w:rPr>
        <w:t xml:space="preserve"> </w:t>
      </w:r>
      <w:r w:rsidR="009D31CE" w:rsidRPr="009454B7">
        <w:rPr>
          <w:rFonts w:cstheme="minorHAnsi"/>
          <w:sz w:val="24"/>
          <w:szCs w:val="24"/>
        </w:rPr>
        <w:t xml:space="preserve"> currently before the House of Lords, and the fire safety consultation to, as the Government says, “provide the biggest improvements to building safety in nearly 40 years.”</w:t>
      </w:r>
      <w:r w:rsidRPr="009454B7">
        <w:rPr>
          <w:rFonts w:cstheme="minorHAnsi"/>
          <w:sz w:val="24"/>
          <w:szCs w:val="24"/>
        </w:rPr>
        <w:t xml:space="preserve"> (September 2020)</w:t>
      </w:r>
    </w:p>
    <w:p w14:paraId="07562D2C" w14:textId="28B7D522" w:rsidR="00310484" w:rsidRPr="009454B7" w:rsidRDefault="00310484" w:rsidP="00310484">
      <w:pPr>
        <w:rPr>
          <w:rFonts w:cstheme="minorHAnsi"/>
          <w:sz w:val="24"/>
          <w:szCs w:val="24"/>
        </w:rPr>
      </w:pPr>
      <w:r w:rsidRPr="009454B7">
        <w:rPr>
          <w:rFonts w:cstheme="minorHAnsi"/>
          <w:sz w:val="24"/>
          <w:szCs w:val="24"/>
        </w:rPr>
        <w:t>The BSR will:</w:t>
      </w:r>
    </w:p>
    <w:p w14:paraId="2F783033" w14:textId="6D3F250C" w:rsidR="00310484" w:rsidRPr="009454B7" w:rsidRDefault="00310484" w:rsidP="00310484">
      <w:pPr>
        <w:pStyle w:val="ListParagraph"/>
        <w:numPr>
          <w:ilvl w:val="0"/>
          <w:numId w:val="6"/>
        </w:numPr>
        <w:rPr>
          <w:rFonts w:cstheme="minorHAnsi"/>
          <w:sz w:val="24"/>
          <w:szCs w:val="24"/>
        </w:rPr>
      </w:pPr>
      <w:r w:rsidRPr="009454B7">
        <w:rPr>
          <w:rFonts w:cstheme="minorHAnsi"/>
          <w:sz w:val="24"/>
          <w:szCs w:val="24"/>
        </w:rPr>
        <w:t>Introduce a better safety system</w:t>
      </w:r>
    </w:p>
    <w:p w14:paraId="2A7D21B1" w14:textId="42D7A78A" w:rsidR="00310484" w:rsidRPr="009454B7" w:rsidRDefault="00310484" w:rsidP="00310484">
      <w:pPr>
        <w:pStyle w:val="ListParagraph"/>
        <w:numPr>
          <w:ilvl w:val="0"/>
          <w:numId w:val="6"/>
        </w:numPr>
        <w:rPr>
          <w:rFonts w:cstheme="minorHAnsi"/>
          <w:sz w:val="24"/>
          <w:szCs w:val="24"/>
        </w:rPr>
      </w:pPr>
      <w:r w:rsidRPr="009454B7">
        <w:rPr>
          <w:rFonts w:cstheme="minorHAnsi"/>
          <w:sz w:val="24"/>
          <w:szCs w:val="24"/>
        </w:rPr>
        <w:t>Impose sanctions and regulations to ensure this happens</w:t>
      </w:r>
    </w:p>
    <w:p w14:paraId="6643313F" w14:textId="5026C936" w:rsidR="00A44C13" w:rsidRPr="009454B7" w:rsidRDefault="00A44C13" w:rsidP="00A44C13">
      <w:pPr>
        <w:rPr>
          <w:rFonts w:cstheme="minorHAnsi"/>
          <w:sz w:val="24"/>
          <w:szCs w:val="24"/>
        </w:rPr>
      </w:pPr>
      <w:r w:rsidRPr="009454B7">
        <w:rPr>
          <w:rFonts w:cstheme="minorHAnsi"/>
          <w:sz w:val="24"/>
          <w:szCs w:val="24"/>
        </w:rPr>
        <w:t>It will embed a strong regulatory framework to make building safety the focus for developers and landlords.</w:t>
      </w:r>
    </w:p>
    <w:p w14:paraId="247A9CF0" w14:textId="63AF1AA2" w:rsidR="00A44C13" w:rsidRPr="009454B7" w:rsidRDefault="00A44C13" w:rsidP="00A44C13">
      <w:pPr>
        <w:rPr>
          <w:rFonts w:cstheme="minorHAnsi"/>
          <w:color w:val="833C0B" w:themeColor="accent2" w:themeShade="80"/>
          <w:sz w:val="24"/>
          <w:szCs w:val="24"/>
        </w:rPr>
      </w:pPr>
      <w:r w:rsidRPr="009454B7">
        <w:rPr>
          <w:rFonts w:cstheme="minorHAnsi"/>
          <w:sz w:val="24"/>
          <w:szCs w:val="24"/>
        </w:rPr>
        <w:t xml:space="preserve"> </w:t>
      </w:r>
      <w:r w:rsidR="00E92B66" w:rsidRPr="009454B7">
        <w:rPr>
          <w:rFonts w:cstheme="minorHAnsi"/>
          <w:sz w:val="24"/>
          <w:szCs w:val="24"/>
        </w:rPr>
        <w:t>T</w:t>
      </w:r>
      <w:r w:rsidRPr="009454B7">
        <w:rPr>
          <w:rFonts w:cstheme="minorHAnsi"/>
          <w:sz w:val="24"/>
          <w:szCs w:val="24"/>
        </w:rPr>
        <w:t xml:space="preserve">he </w:t>
      </w:r>
      <w:r w:rsidR="00C13E1D" w:rsidRPr="009454B7">
        <w:rPr>
          <w:rFonts w:cstheme="minorHAnsi"/>
          <w:sz w:val="24"/>
          <w:szCs w:val="24"/>
        </w:rPr>
        <w:t>draft Bill</w:t>
      </w:r>
      <w:r w:rsidRPr="009454B7">
        <w:rPr>
          <w:rFonts w:cstheme="minorHAnsi"/>
          <w:sz w:val="24"/>
          <w:szCs w:val="24"/>
        </w:rPr>
        <w:t xml:space="preserve"> will be a set of new stricter rules on building safety, applying at all stages of the building process. </w:t>
      </w:r>
      <w:r w:rsidR="00E92B66" w:rsidRPr="009454B7">
        <w:rPr>
          <w:rFonts w:cstheme="minorHAnsi"/>
          <w:sz w:val="24"/>
          <w:szCs w:val="24"/>
        </w:rPr>
        <w:t xml:space="preserve">The building process will be split into </w:t>
      </w:r>
      <w:r w:rsidRPr="009454B7">
        <w:rPr>
          <w:rFonts w:cstheme="minorHAnsi"/>
          <w:b/>
          <w:bCs/>
          <w:sz w:val="24"/>
          <w:szCs w:val="24"/>
        </w:rPr>
        <w:t>Gateway</w:t>
      </w:r>
      <w:r w:rsidR="00D6481A" w:rsidRPr="009454B7">
        <w:rPr>
          <w:rFonts w:cstheme="minorHAnsi"/>
          <w:b/>
          <w:bCs/>
          <w:sz w:val="24"/>
          <w:szCs w:val="24"/>
        </w:rPr>
        <w:t>s</w:t>
      </w:r>
      <w:r w:rsidRPr="009454B7">
        <w:rPr>
          <w:rFonts w:cstheme="minorHAnsi"/>
          <w:sz w:val="24"/>
          <w:szCs w:val="24"/>
        </w:rPr>
        <w:t xml:space="preserve"> </w:t>
      </w:r>
      <w:r w:rsidR="00E92B66" w:rsidRPr="009454B7">
        <w:rPr>
          <w:rFonts w:cstheme="minorHAnsi"/>
          <w:sz w:val="24"/>
          <w:szCs w:val="24"/>
        </w:rPr>
        <w:t xml:space="preserve">at each </w:t>
      </w:r>
      <w:r w:rsidR="00A771F8" w:rsidRPr="009454B7">
        <w:rPr>
          <w:rFonts w:cstheme="minorHAnsi"/>
          <w:sz w:val="24"/>
          <w:szCs w:val="24"/>
        </w:rPr>
        <w:t>stage</w:t>
      </w:r>
      <w:r w:rsidR="00E92B66" w:rsidRPr="009454B7">
        <w:rPr>
          <w:rFonts w:cstheme="minorHAnsi"/>
          <w:sz w:val="24"/>
          <w:szCs w:val="24"/>
        </w:rPr>
        <w:t xml:space="preserve"> of the building’s construction and life. Each Gateway </w:t>
      </w:r>
      <w:r w:rsidR="00A771F8" w:rsidRPr="009454B7">
        <w:rPr>
          <w:rFonts w:cstheme="minorHAnsi"/>
          <w:sz w:val="24"/>
          <w:szCs w:val="24"/>
        </w:rPr>
        <w:t>stage</w:t>
      </w:r>
      <w:r w:rsidR="00E92B66" w:rsidRPr="009454B7">
        <w:rPr>
          <w:rFonts w:cstheme="minorHAnsi"/>
          <w:sz w:val="24"/>
          <w:szCs w:val="24"/>
        </w:rPr>
        <w:t xml:space="preserve"> will have a </w:t>
      </w:r>
      <w:proofErr w:type="spellStart"/>
      <w:r w:rsidR="00E92B66" w:rsidRPr="009454B7">
        <w:rPr>
          <w:rFonts w:cstheme="minorHAnsi"/>
          <w:b/>
          <w:bCs/>
          <w:sz w:val="24"/>
          <w:szCs w:val="24"/>
        </w:rPr>
        <w:t>Dutyholder</w:t>
      </w:r>
      <w:proofErr w:type="spellEnd"/>
      <w:r w:rsidR="00E92B66" w:rsidRPr="009454B7">
        <w:rPr>
          <w:rFonts w:cstheme="minorHAnsi"/>
          <w:b/>
          <w:bCs/>
          <w:sz w:val="24"/>
          <w:szCs w:val="24"/>
        </w:rPr>
        <w:t>,</w:t>
      </w:r>
      <w:r w:rsidR="00E92B66" w:rsidRPr="009454B7">
        <w:rPr>
          <w:rFonts w:cstheme="minorHAnsi"/>
          <w:sz w:val="24"/>
          <w:szCs w:val="24"/>
        </w:rPr>
        <w:t xml:space="preserve"> a person or organisation/company responsible for managing building safety risks at each </w:t>
      </w:r>
      <w:r w:rsidR="00A771F8" w:rsidRPr="009454B7">
        <w:rPr>
          <w:rFonts w:cstheme="minorHAnsi"/>
          <w:sz w:val="24"/>
          <w:szCs w:val="24"/>
        </w:rPr>
        <w:t>stage</w:t>
      </w:r>
      <w:r w:rsidR="00E92B66" w:rsidRPr="009454B7">
        <w:rPr>
          <w:rFonts w:cstheme="minorHAnsi"/>
          <w:color w:val="833C0B" w:themeColor="accent2" w:themeShade="80"/>
          <w:sz w:val="24"/>
          <w:szCs w:val="24"/>
        </w:rPr>
        <w:t>.</w:t>
      </w:r>
    </w:p>
    <w:p w14:paraId="3CFD8B20" w14:textId="1AFBD3E4" w:rsidR="00512442" w:rsidRPr="009454B7" w:rsidRDefault="00E92B66" w:rsidP="00D6481A">
      <w:pPr>
        <w:spacing w:after="0"/>
        <w:rPr>
          <w:rFonts w:cstheme="minorHAnsi"/>
          <w:sz w:val="24"/>
          <w:szCs w:val="24"/>
        </w:rPr>
      </w:pPr>
      <w:r w:rsidRPr="009454B7">
        <w:rPr>
          <w:rFonts w:cstheme="minorHAnsi"/>
          <w:sz w:val="24"/>
          <w:szCs w:val="24"/>
        </w:rPr>
        <w:t>The BSR will assess each ‘</w:t>
      </w:r>
      <w:r w:rsidRPr="009454B7">
        <w:rPr>
          <w:rFonts w:cstheme="minorHAnsi"/>
          <w:b/>
          <w:bCs/>
          <w:sz w:val="24"/>
          <w:szCs w:val="24"/>
        </w:rPr>
        <w:t>Gateway’ handover</w:t>
      </w:r>
      <w:r w:rsidRPr="009454B7">
        <w:rPr>
          <w:rFonts w:cstheme="minorHAnsi"/>
          <w:sz w:val="24"/>
          <w:szCs w:val="24"/>
        </w:rPr>
        <w:t xml:space="preserve"> and can stop progress if building safety aims are not met.</w:t>
      </w:r>
      <w:r w:rsidR="00512442" w:rsidRPr="009454B7">
        <w:rPr>
          <w:rFonts w:cstheme="minorHAnsi"/>
          <w:sz w:val="24"/>
          <w:szCs w:val="24"/>
        </w:rPr>
        <w:t xml:space="preserve"> A digitally accessible golden thread of information including details of:</w:t>
      </w:r>
    </w:p>
    <w:p w14:paraId="53ABCBCF" w14:textId="6496AAFB" w:rsidR="00512442" w:rsidRPr="009454B7" w:rsidRDefault="00512442" w:rsidP="00512442">
      <w:pPr>
        <w:pStyle w:val="ListParagraph"/>
        <w:numPr>
          <w:ilvl w:val="0"/>
          <w:numId w:val="8"/>
        </w:numPr>
        <w:rPr>
          <w:rFonts w:cstheme="minorHAnsi"/>
          <w:sz w:val="24"/>
          <w:szCs w:val="24"/>
        </w:rPr>
      </w:pPr>
      <w:r w:rsidRPr="009454B7">
        <w:rPr>
          <w:rFonts w:cstheme="minorHAnsi"/>
          <w:sz w:val="24"/>
          <w:szCs w:val="24"/>
        </w:rPr>
        <w:t>the original design &amp; construction</w:t>
      </w:r>
    </w:p>
    <w:p w14:paraId="032A3BB9" w14:textId="011F148E" w:rsidR="00512442" w:rsidRPr="009454B7" w:rsidRDefault="00512442" w:rsidP="00D6481A">
      <w:pPr>
        <w:pStyle w:val="ListParagraph"/>
        <w:numPr>
          <w:ilvl w:val="0"/>
          <w:numId w:val="8"/>
        </w:numPr>
        <w:spacing w:after="0"/>
        <w:rPr>
          <w:rFonts w:cstheme="minorHAnsi"/>
          <w:sz w:val="24"/>
          <w:szCs w:val="24"/>
        </w:rPr>
      </w:pPr>
      <w:r w:rsidRPr="009454B7">
        <w:rPr>
          <w:rFonts w:cstheme="minorHAnsi"/>
          <w:sz w:val="24"/>
          <w:szCs w:val="24"/>
        </w:rPr>
        <w:lastRenderedPageBreak/>
        <w:t>changes and upgrades during the building’s lifecycle</w:t>
      </w:r>
    </w:p>
    <w:p w14:paraId="217793BD" w14:textId="6BB09412" w:rsidR="00512442" w:rsidRPr="009454B7" w:rsidRDefault="00573994" w:rsidP="00512442">
      <w:pPr>
        <w:rPr>
          <w:rFonts w:cstheme="minorHAnsi"/>
          <w:sz w:val="24"/>
          <w:szCs w:val="24"/>
        </w:rPr>
      </w:pPr>
      <w:r w:rsidRPr="009454B7">
        <w:rPr>
          <w:rFonts w:cstheme="minorHAnsi"/>
          <w:sz w:val="24"/>
          <w:szCs w:val="24"/>
        </w:rPr>
        <w:t xml:space="preserve">This </w:t>
      </w:r>
      <w:r w:rsidR="00512442" w:rsidRPr="009454B7">
        <w:rPr>
          <w:rFonts w:cstheme="minorHAnsi"/>
          <w:sz w:val="24"/>
          <w:szCs w:val="24"/>
        </w:rPr>
        <w:t xml:space="preserve">will be available to anybody at any stage when needed. </w:t>
      </w:r>
    </w:p>
    <w:p w14:paraId="19FA2205" w14:textId="2536A964" w:rsidR="00512442" w:rsidRPr="009454B7" w:rsidRDefault="00512442" w:rsidP="00512442">
      <w:pPr>
        <w:rPr>
          <w:rFonts w:cstheme="minorHAnsi"/>
          <w:sz w:val="24"/>
          <w:szCs w:val="24"/>
        </w:rPr>
      </w:pPr>
      <w:r w:rsidRPr="009454B7">
        <w:rPr>
          <w:rFonts w:cstheme="minorHAnsi"/>
          <w:sz w:val="24"/>
          <w:szCs w:val="24"/>
        </w:rPr>
        <w:t xml:space="preserve">For residents, the </w:t>
      </w:r>
      <w:proofErr w:type="spellStart"/>
      <w:r w:rsidR="00D6481A" w:rsidRPr="009454B7">
        <w:rPr>
          <w:rFonts w:cstheme="minorHAnsi"/>
          <w:b/>
          <w:bCs/>
          <w:sz w:val="24"/>
          <w:szCs w:val="24"/>
        </w:rPr>
        <w:t>Dutyholder</w:t>
      </w:r>
      <w:proofErr w:type="spellEnd"/>
      <w:r w:rsidR="00D6481A" w:rsidRPr="009454B7">
        <w:rPr>
          <w:rFonts w:cstheme="minorHAnsi"/>
          <w:sz w:val="24"/>
          <w:szCs w:val="24"/>
        </w:rPr>
        <w:t xml:space="preserve"> (usually landlord/owner) is called the</w:t>
      </w:r>
      <w:r w:rsidRPr="009454B7">
        <w:rPr>
          <w:rFonts w:cstheme="minorHAnsi"/>
          <w:sz w:val="24"/>
          <w:szCs w:val="24"/>
        </w:rPr>
        <w:t xml:space="preserve"> </w:t>
      </w:r>
      <w:r w:rsidRPr="009454B7">
        <w:rPr>
          <w:rFonts w:cstheme="minorHAnsi"/>
          <w:b/>
          <w:bCs/>
          <w:sz w:val="24"/>
          <w:szCs w:val="24"/>
        </w:rPr>
        <w:t>Accountable Person</w:t>
      </w:r>
      <w:r w:rsidRPr="009454B7">
        <w:rPr>
          <w:rFonts w:cstheme="minorHAnsi"/>
          <w:sz w:val="24"/>
          <w:szCs w:val="24"/>
        </w:rPr>
        <w:t xml:space="preserve"> </w:t>
      </w:r>
      <w:r w:rsidR="00D6481A" w:rsidRPr="009454B7">
        <w:rPr>
          <w:rFonts w:cstheme="minorHAnsi"/>
          <w:sz w:val="24"/>
          <w:szCs w:val="24"/>
        </w:rPr>
        <w:t xml:space="preserve">and </w:t>
      </w:r>
      <w:r w:rsidRPr="009454B7">
        <w:rPr>
          <w:rFonts w:cstheme="minorHAnsi"/>
          <w:sz w:val="24"/>
          <w:szCs w:val="24"/>
        </w:rPr>
        <w:t xml:space="preserve">will give them a greater voice in the safety of their buildings. </w:t>
      </w:r>
    </w:p>
    <w:p w14:paraId="3EB88D9C" w14:textId="77777777" w:rsidR="00142254" w:rsidRPr="009454B7" w:rsidRDefault="00142254" w:rsidP="00142254">
      <w:pPr>
        <w:rPr>
          <w:rFonts w:cstheme="minorHAnsi"/>
          <w:color w:val="4472C4" w:themeColor="accent1"/>
          <w:sz w:val="24"/>
          <w:szCs w:val="24"/>
        </w:rPr>
      </w:pPr>
      <w:r w:rsidRPr="009454B7">
        <w:rPr>
          <w:rFonts w:cstheme="minorHAnsi"/>
          <w:b/>
          <w:bCs/>
          <w:sz w:val="24"/>
          <w:szCs w:val="24"/>
        </w:rPr>
        <w:t>An Accountable Person</w:t>
      </w:r>
      <w:r w:rsidRPr="009454B7">
        <w:rPr>
          <w:rFonts w:cstheme="minorHAnsi"/>
          <w:sz w:val="24"/>
          <w:szCs w:val="24"/>
        </w:rPr>
        <w:t xml:space="preserve"> will be appointed for any high-rise building over 18 metres in height, and will be accountable to the new BSR, of which Dame Hackitt is a senior adviser.</w:t>
      </w:r>
      <w:r w:rsidRPr="009454B7">
        <w:rPr>
          <w:rFonts w:cstheme="minorHAnsi"/>
          <w:color w:val="4472C4" w:themeColor="accent1"/>
          <w:sz w:val="24"/>
          <w:szCs w:val="24"/>
        </w:rPr>
        <w:t xml:space="preserve"> </w:t>
      </w:r>
    </w:p>
    <w:p w14:paraId="699EA879" w14:textId="50F48A11" w:rsidR="00142254" w:rsidRPr="009454B7" w:rsidRDefault="00142254" w:rsidP="00142254">
      <w:pPr>
        <w:rPr>
          <w:rFonts w:cstheme="minorHAnsi"/>
          <w:b/>
          <w:bCs/>
          <w:sz w:val="24"/>
          <w:szCs w:val="24"/>
          <w:u w:val="single"/>
        </w:rPr>
      </w:pPr>
      <w:r w:rsidRPr="009454B7">
        <w:rPr>
          <w:rFonts w:cstheme="minorHAnsi"/>
          <w:sz w:val="24"/>
          <w:szCs w:val="24"/>
        </w:rPr>
        <w:t xml:space="preserve">In Dame Judith Hackitt’s investigation into Building Safety, following the Grenfell Tower, (published May 2018), Dame Hackitt also advised that whilst her remit was for homes 18 metres and under, her </w:t>
      </w:r>
      <w:r w:rsidRPr="009454B7">
        <w:rPr>
          <w:rFonts w:cstheme="minorHAnsi"/>
          <w:b/>
          <w:bCs/>
          <w:sz w:val="24"/>
          <w:szCs w:val="24"/>
        </w:rPr>
        <w:t xml:space="preserve">recommendation would be </w:t>
      </w:r>
      <w:r w:rsidR="009454B7">
        <w:rPr>
          <w:rFonts w:cstheme="minorHAnsi"/>
          <w:b/>
          <w:bCs/>
          <w:sz w:val="24"/>
          <w:szCs w:val="24"/>
        </w:rPr>
        <w:t>good</w:t>
      </w:r>
      <w:r w:rsidRPr="009454B7">
        <w:rPr>
          <w:rFonts w:cstheme="minorHAnsi"/>
          <w:b/>
          <w:bCs/>
          <w:sz w:val="24"/>
          <w:szCs w:val="24"/>
        </w:rPr>
        <w:t xml:space="preserve"> practice to operate for </w:t>
      </w:r>
      <w:r w:rsidRPr="009454B7">
        <w:rPr>
          <w:rFonts w:cstheme="minorHAnsi"/>
          <w:b/>
          <w:bCs/>
          <w:sz w:val="24"/>
          <w:szCs w:val="24"/>
          <w:u w:val="single"/>
        </w:rPr>
        <w:t>all purpose-built flatted accommodation.</w:t>
      </w:r>
    </w:p>
    <w:p w14:paraId="605AD26F" w14:textId="1E671859" w:rsidR="00D6481A" w:rsidRPr="009454B7" w:rsidRDefault="00512442" w:rsidP="00512442">
      <w:pPr>
        <w:rPr>
          <w:rFonts w:cstheme="minorHAnsi"/>
          <w:sz w:val="24"/>
          <w:szCs w:val="24"/>
        </w:rPr>
      </w:pPr>
      <w:r w:rsidRPr="009454B7">
        <w:rPr>
          <w:rFonts w:cstheme="minorHAnsi"/>
          <w:b/>
          <w:bCs/>
          <w:sz w:val="24"/>
          <w:szCs w:val="24"/>
        </w:rPr>
        <w:t>The Accountable Person</w:t>
      </w:r>
      <w:r w:rsidRPr="009454B7">
        <w:rPr>
          <w:rFonts w:cstheme="minorHAnsi"/>
          <w:sz w:val="24"/>
          <w:szCs w:val="24"/>
        </w:rPr>
        <w:t xml:space="preserve"> will be responsible for keeping residents of high-rise buildings safe, as well as listening and responding to their concerns and ensuring the buildings they live in are safe. </w:t>
      </w:r>
    </w:p>
    <w:p w14:paraId="741DE103" w14:textId="550054A3" w:rsidR="00D6481A" w:rsidRPr="009454B7" w:rsidRDefault="00D6481A" w:rsidP="00512442">
      <w:pPr>
        <w:rPr>
          <w:rFonts w:cstheme="minorHAnsi"/>
          <w:sz w:val="24"/>
          <w:szCs w:val="24"/>
        </w:rPr>
      </w:pPr>
      <w:r w:rsidRPr="009454B7">
        <w:rPr>
          <w:rFonts w:cstheme="minorHAnsi"/>
          <w:sz w:val="24"/>
          <w:szCs w:val="24"/>
        </w:rPr>
        <w:t xml:space="preserve">They will register the building with the BSR and obtain a </w:t>
      </w:r>
      <w:r w:rsidRPr="009454B7">
        <w:rPr>
          <w:rFonts w:cstheme="minorHAnsi"/>
          <w:b/>
          <w:bCs/>
          <w:sz w:val="24"/>
          <w:szCs w:val="24"/>
        </w:rPr>
        <w:t xml:space="preserve">Building Safety Assurance Certificate </w:t>
      </w:r>
      <w:r w:rsidRPr="009454B7">
        <w:rPr>
          <w:rFonts w:cstheme="minorHAnsi"/>
          <w:sz w:val="24"/>
          <w:szCs w:val="24"/>
        </w:rPr>
        <w:t>before it is occupied.</w:t>
      </w:r>
      <w:r w:rsidR="00142254" w:rsidRPr="009454B7">
        <w:rPr>
          <w:rFonts w:cstheme="minorHAnsi"/>
          <w:sz w:val="24"/>
          <w:szCs w:val="24"/>
        </w:rPr>
        <w:t xml:space="preserve"> The BSR will only issue the certificate if the Accountable Person meets statutory obligations. This applies to both new and existing buildings. </w:t>
      </w:r>
    </w:p>
    <w:p w14:paraId="2BF7E485" w14:textId="2EFD87D1" w:rsidR="00512442" w:rsidRPr="009454B7" w:rsidRDefault="00512442" w:rsidP="00512442">
      <w:pPr>
        <w:rPr>
          <w:rFonts w:cstheme="minorHAnsi"/>
          <w:sz w:val="24"/>
          <w:szCs w:val="24"/>
        </w:rPr>
      </w:pPr>
      <w:r w:rsidRPr="009454B7">
        <w:rPr>
          <w:rFonts w:cstheme="minorHAnsi"/>
          <w:sz w:val="24"/>
          <w:szCs w:val="24"/>
        </w:rPr>
        <w:t xml:space="preserve">They will also be charged with developing a </w:t>
      </w:r>
      <w:r w:rsidRPr="009454B7">
        <w:rPr>
          <w:rFonts w:cstheme="minorHAnsi"/>
          <w:b/>
          <w:bCs/>
          <w:sz w:val="24"/>
          <w:szCs w:val="24"/>
        </w:rPr>
        <w:t>‘</w:t>
      </w:r>
      <w:r w:rsidR="00265728" w:rsidRPr="009454B7">
        <w:rPr>
          <w:rFonts w:cstheme="minorHAnsi"/>
          <w:b/>
          <w:bCs/>
          <w:sz w:val="24"/>
          <w:szCs w:val="24"/>
        </w:rPr>
        <w:t>Resident Engagement Strategy</w:t>
      </w:r>
      <w:r w:rsidRPr="009454B7">
        <w:rPr>
          <w:rFonts w:cstheme="minorHAnsi"/>
          <w:b/>
          <w:bCs/>
          <w:sz w:val="24"/>
          <w:szCs w:val="24"/>
        </w:rPr>
        <w:t>’</w:t>
      </w:r>
      <w:r w:rsidRPr="009454B7">
        <w:rPr>
          <w:rFonts w:cstheme="minorHAnsi"/>
          <w:sz w:val="24"/>
          <w:szCs w:val="24"/>
        </w:rPr>
        <w:t xml:space="preserve">, which amongst other roles, will show residents how they can get involved, and the benefits they gain from engaging in </w:t>
      </w:r>
      <w:r w:rsidR="00D6481A" w:rsidRPr="009454B7">
        <w:rPr>
          <w:rFonts w:cstheme="minorHAnsi"/>
          <w:sz w:val="24"/>
          <w:szCs w:val="24"/>
        </w:rPr>
        <w:t>Building Safety Regulation</w:t>
      </w:r>
      <w:r w:rsidRPr="009454B7">
        <w:rPr>
          <w:rFonts w:cstheme="minorHAnsi"/>
          <w:sz w:val="24"/>
          <w:szCs w:val="24"/>
        </w:rPr>
        <w:t>, while residents will also be able to request information from their Accountable Person, which few reasons for these requests to be rejected.</w:t>
      </w:r>
    </w:p>
    <w:p w14:paraId="45243631" w14:textId="3F502592" w:rsidR="00E92B66" w:rsidRPr="009454B7" w:rsidRDefault="00142254" w:rsidP="00A44C13">
      <w:pPr>
        <w:rPr>
          <w:rFonts w:cstheme="minorHAnsi"/>
          <w:sz w:val="24"/>
          <w:szCs w:val="24"/>
        </w:rPr>
      </w:pPr>
      <w:r w:rsidRPr="009454B7">
        <w:rPr>
          <w:rFonts w:cstheme="minorHAnsi"/>
          <w:sz w:val="24"/>
          <w:szCs w:val="24"/>
        </w:rPr>
        <w:t xml:space="preserve">The </w:t>
      </w:r>
      <w:r w:rsidRPr="009454B7">
        <w:rPr>
          <w:rFonts w:cstheme="minorHAnsi"/>
          <w:b/>
          <w:bCs/>
          <w:sz w:val="24"/>
          <w:szCs w:val="24"/>
        </w:rPr>
        <w:t>Accountable Person</w:t>
      </w:r>
      <w:r w:rsidRPr="009454B7">
        <w:rPr>
          <w:rFonts w:cstheme="minorHAnsi"/>
          <w:sz w:val="24"/>
          <w:szCs w:val="24"/>
        </w:rPr>
        <w:t xml:space="preserve"> will be required </w:t>
      </w:r>
      <w:r w:rsidR="00AB5661" w:rsidRPr="009454B7">
        <w:rPr>
          <w:rFonts w:cstheme="minorHAnsi"/>
          <w:sz w:val="24"/>
          <w:szCs w:val="24"/>
        </w:rPr>
        <w:t xml:space="preserve">to employ </w:t>
      </w:r>
      <w:r w:rsidRPr="009454B7">
        <w:rPr>
          <w:rFonts w:cstheme="minorHAnsi"/>
          <w:sz w:val="24"/>
          <w:szCs w:val="24"/>
        </w:rPr>
        <w:t>a Building Safety Manager. Their role will be</w:t>
      </w:r>
      <w:r w:rsidR="005849F2" w:rsidRPr="009454B7">
        <w:rPr>
          <w:rFonts w:cstheme="minorHAnsi"/>
          <w:sz w:val="24"/>
          <w:szCs w:val="24"/>
        </w:rPr>
        <w:t xml:space="preserve"> to</w:t>
      </w:r>
      <w:r w:rsidRPr="009454B7">
        <w:rPr>
          <w:rFonts w:cstheme="minorHAnsi"/>
          <w:sz w:val="24"/>
          <w:szCs w:val="24"/>
        </w:rPr>
        <w:t>:</w:t>
      </w:r>
    </w:p>
    <w:p w14:paraId="7D94851F" w14:textId="2CD48CE0" w:rsidR="005849F2" w:rsidRPr="009454B7" w:rsidRDefault="00142254" w:rsidP="00142254">
      <w:pPr>
        <w:pStyle w:val="ListParagraph"/>
        <w:numPr>
          <w:ilvl w:val="0"/>
          <w:numId w:val="9"/>
        </w:numPr>
        <w:rPr>
          <w:rFonts w:cstheme="minorHAnsi"/>
          <w:sz w:val="24"/>
          <w:szCs w:val="24"/>
        </w:rPr>
      </w:pPr>
      <w:r w:rsidRPr="009454B7">
        <w:rPr>
          <w:rFonts w:cstheme="minorHAnsi"/>
          <w:sz w:val="24"/>
          <w:szCs w:val="24"/>
        </w:rPr>
        <w:t>support the Accountable Person</w:t>
      </w:r>
      <w:r w:rsidR="005849F2" w:rsidRPr="009454B7">
        <w:rPr>
          <w:rFonts w:cstheme="minorHAnsi"/>
          <w:sz w:val="24"/>
          <w:szCs w:val="24"/>
        </w:rPr>
        <w:t xml:space="preserve"> in the day-to-day running of the building </w:t>
      </w:r>
      <w:r w:rsidR="00462235" w:rsidRPr="009454B7">
        <w:rPr>
          <w:rFonts w:cstheme="minorHAnsi"/>
          <w:sz w:val="24"/>
          <w:szCs w:val="24"/>
        </w:rPr>
        <w:t xml:space="preserve">to </w:t>
      </w:r>
      <w:r w:rsidR="005849F2" w:rsidRPr="009454B7">
        <w:rPr>
          <w:rFonts w:cstheme="minorHAnsi"/>
          <w:sz w:val="24"/>
          <w:szCs w:val="24"/>
        </w:rPr>
        <w:t>meet safety standards</w:t>
      </w:r>
    </w:p>
    <w:p w14:paraId="7B1C5CA3" w14:textId="77777777" w:rsidR="005849F2" w:rsidRPr="009454B7" w:rsidRDefault="005849F2" w:rsidP="00142254">
      <w:pPr>
        <w:pStyle w:val="ListParagraph"/>
        <w:numPr>
          <w:ilvl w:val="0"/>
          <w:numId w:val="9"/>
        </w:numPr>
        <w:rPr>
          <w:rFonts w:cstheme="minorHAnsi"/>
          <w:sz w:val="24"/>
          <w:szCs w:val="24"/>
        </w:rPr>
      </w:pPr>
      <w:r w:rsidRPr="009454B7">
        <w:rPr>
          <w:rFonts w:cstheme="minorHAnsi"/>
          <w:sz w:val="24"/>
          <w:szCs w:val="24"/>
        </w:rPr>
        <w:t>report works on the building to stakeholders</w:t>
      </w:r>
    </w:p>
    <w:p w14:paraId="34D645E5" w14:textId="77777777" w:rsidR="005849F2" w:rsidRPr="009454B7" w:rsidRDefault="005849F2" w:rsidP="00142254">
      <w:pPr>
        <w:pStyle w:val="ListParagraph"/>
        <w:numPr>
          <w:ilvl w:val="0"/>
          <w:numId w:val="9"/>
        </w:numPr>
        <w:rPr>
          <w:rFonts w:cstheme="minorHAnsi"/>
          <w:sz w:val="24"/>
          <w:szCs w:val="24"/>
        </w:rPr>
      </w:pPr>
      <w:r w:rsidRPr="009454B7">
        <w:rPr>
          <w:rFonts w:cstheme="minorHAnsi"/>
          <w:sz w:val="24"/>
          <w:szCs w:val="24"/>
        </w:rPr>
        <w:t>ensure building meets regulator’s requirements</w:t>
      </w:r>
    </w:p>
    <w:p w14:paraId="63B182B0" w14:textId="77C7853D" w:rsidR="005849F2" w:rsidRPr="009454B7" w:rsidRDefault="005849F2" w:rsidP="00142254">
      <w:pPr>
        <w:pStyle w:val="ListParagraph"/>
        <w:numPr>
          <w:ilvl w:val="0"/>
          <w:numId w:val="9"/>
        </w:numPr>
        <w:rPr>
          <w:rFonts w:cstheme="minorHAnsi"/>
          <w:sz w:val="24"/>
          <w:szCs w:val="24"/>
        </w:rPr>
      </w:pPr>
      <w:r w:rsidRPr="009454B7">
        <w:rPr>
          <w:rFonts w:cstheme="minorHAnsi"/>
          <w:sz w:val="24"/>
          <w:szCs w:val="24"/>
        </w:rPr>
        <w:t>on top of any advice or guidance put in place by the regulator</w:t>
      </w:r>
    </w:p>
    <w:p w14:paraId="1C1F1844" w14:textId="355AD136" w:rsidR="00462235" w:rsidRPr="009454B7" w:rsidRDefault="00A44C13" w:rsidP="00462235">
      <w:pPr>
        <w:rPr>
          <w:rFonts w:cstheme="minorHAnsi"/>
          <w:sz w:val="24"/>
          <w:szCs w:val="24"/>
        </w:rPr>
      </w:pPr>
      <w:r w:rsidRPr="009454B7">
        <w:rPr>
          <w:rFonts w:cstheme="minorHAnsi"/>
          <w:b/>
          <w:bCs/>
          <w:sz w:val="24"/>
          <w:szCs w:val="24"/>
        </w:rPr>
        <w:t>The BSR will have powers to</w:t>
      </w:r>
      <w:r w:rsidRPr="009454B7">
        <w:rPr>
          <w:rFonts w:cstheme="minorHAnsi"/>
          <w:sz w:val="24"/>
          <w:szCs w:val="24"/>
        </w:rPr>
        <w:t xml:space="preserve"> implement and enforce newer regulations on all buildings.</w:t>
      </w:r>
      <w:r w:rsidR="005849F2" w:rsidRPr="009454B7">
        <w:rPr>
          <w:rFonts w:cstheme="minorHAnsi"/>
          <w:sz w:val="24"/>
          <w:szCs w:val="24"/>
        </w:rPr>
        <w:t xml:space="preserve"> </w:t>
      </w:r>
      <w:r w:rsidR="00462235" w:rsidRPr="009454B7">
        <w:rPr>
          <w:rFonts w:cstheme="minorHAnsi"/>
          <w:color w:val="833C0B" w:themeColor="accent2" w:themeShade="80"/>
          <w:sz w:val="24"/>
          <w:szCs w:val="24"/>
        </w:rPr>
        <w:t xml:space="preserve">It </w:t>
      </w:r>
      <w:r w:rsidR="00462235" w:rsidRPr="009454B7">
        <w:rPr>
          <w:rFonts w:cstheme="minorHAnsi"/>
          <w:sz w:val="24"/>
          <w:szCs w:val="24"/>
        </w:rPr>
        <w:t>will:</w:t>
      </w:r>
    </w:p>
    <w:p w14:paraId="4D261B6A" w14:textId="70356EEA" w:rsidR="00462235" w:rsidRPr="009454B7" w:rsidRDefault="00462235" w:rsidP="009454B7">
      <w:pPr>
        <w:pStyle w:val="ListParagraph"/>
        <w:numPr>
          <w:ilvl w:val="0"/>
          <w:numId w:val="11"/>
        </w:numPr>
        <w:ind w:left="720"/>
        <w:rPr>
          <w:rFonts w:cstheme="minorHAnsi"/>
          <w:sz w:val="24"/>
          <w:szCs w:val="24"/>
        </w:rPr>
      </w:pPr>
      <w:r w:rsidRPr="009454B7">
        <w:rPr>
          <w:rFonts w:cstheme="minorHAnsi"/>
          <w:sz w:val="24"/>
          <w:szCs w:val="24"/>
        </w:rPr>
        <w:t>issue stop notices on construction projects breaching</w:t>
      </w:r>
      <w:r w:rsidR="00A771F8" w:rsidRPr="009454B7">
        <w:rPr>
          <w:rFonts w:cstheme="minorHAnsi"/>
          <w:sz w:val="24"/>
          <w:szCs w:val="24"/>
        </w:rPr>
        <w:t xml:space="preserve"> safety standards</w:t>
      </w:r>
    </w:p>
    <w:p w14:paraId="49F688B9" w14:textId="57510E53" w:rsidR="00462235" w:rsidRPr="009454B7" w:rsidRDefault="00462235" w:rsidP="009454B7">
      <w:pPr>
        <w:pStyle w:val="ListParagraph"/>
        <w:numPr>
          <w:ilvl w:val="0"/>
          <w:numId w:val="10"/>
        </w:numPr>
        <w:ind w:left="720"/>
        <w:rPr>
          <w:rFonts w:cstheme="minorHAnsi"/>
          <w:sz w:val="24"/>
          <w:szCs w:val="24"/>
        </w:rPr>
      </w:pPr>
      <w:r w:rsidRPr="009454B7">
        <w:rPr>
          <w:rFonts w:cstheme="minorHAnsi"/>
          <w:sz w:val="24"/>
          <w:szCs w:val="24"/>
        </w:rPr>
        <w:t xml:space="preserve">issue compliance notices, compelling Accountable Persons to fix safety </w:t>
      </w:r>
      <w:r w:rsidR="004B1F43" w:rsidRPr="009454B7">
        <w:rPr>
          <w:rFonts w:cstheme="minorHAnsi"/>
          <w:sz w:val="24"/>
          <w:szCs w:val="24"/>
        </w:rPr>
        <w:t>breaches</w:t>
      </w:r>
      <w:r w:rsidRPr="009454B7">
        <w:rPr>
          <w:rFonts w:cstheme="minorHAnsi"/>
          <w:sz w:val="24"/>
          <w:szCs w:val="24"/>
        </w:rPr>
        <w:t xml:space="preserve"> by a set date</w:t>
      </w:r>
    </w:p>
    <w:p w14:paraId="230F8DA7" w14:textId="68DAC721" w:rsidR="00655314" w:rsidRPr="009454B7" w:rsidRDefault="00462235" w:rsidP="00655314">
      <w:pPr>
        <w:rPr>
          <w:rFonts w:cstheme="minorHAnsi"/>
          <w:sz w:val="24"/>
          <w:szCs w:val="24"/>
        </w:rPr>
      </w:pPr>
      <w:r w:rsidRPr="009454B7">
        <w:rPr>
          <w:rFonts w:cstheme="minorHAnsi"/>
          <w:b/>
          <w:bCs/>
          <w:sz w:val="24"/>
          <w:szCs w:val="24"/>
        </w:rPr>
        <w:t>Non-compliance</w:t>
      </w:r>
      <w:r w:rsidR="00DA46C5" w:rsidRPr="009454B7">
        <w:rPr>
          <w:rFonts w:cstheme="minorHAnsi"/>
          <w:sz w:val="24"/>
          <w:szCs w:val="24"/>
        </w:rPr>
        <w:t xml:space="preserve"> or stop notices could lead to an unlimited fine or jail for up to 2 years</w:t>
      </w:r>
      <w:r w:rsidR="009A2577" w:rsidRPr="009454B7">
        <w:rPr>
          <w:rFonts w:cstheme="minorHAnsi"/>
          <w:sz w:val="24"/>
          <w:szCs w:val="24"/>
        </w:rPr>
        <w:t xml:space="preserve"> or both</w:t>
      </w:r>
      <w:r w:rsidR="00DA46C5" w:rsidRPr="009454B7">
        <w:rPr>
          <w:rFonts w:cstheme="minorHAnsi"/>
          <w:sz w:val="24"/>
          <w:szCs w:val="24"/>
        </w:rPr>
        <w:t xml:space="preserve">. </w:t>
      </w:r>
      <w:r w:rsidR="005849F2" w:rsidRPr="009454B7">
        <w:rPr>
          <w:rFonts w:cstheme="minorHAnsi"/>
          <w:sz w:val="24"/>
          <w:szCs w:val="24"/>
        </w:rPr>
        <w:t>For example, the BSR has the power to veto the appointment of a Building Safety Manager who does not meet the competencies required.</w:t>
      </w:r>
    </w:p>
    <w:p w14:paraId="725E8184" w14:textId="3648D491" w:rsidR="00A44C13" w:rsidRPr="009454B7" w:rsidRDefault="00655314" w:rsidP="00655314">
      <w:pPr>
        <w:rPr>
          <w:rFonts w:cstheme="minorHAnsi"/>
          <w:b/>
          <w:bCs/>
          <w:i/>
          <w:iCs/>
          <w:sz w:val="24"/>
          <w:szCs w:val="24"/>
        </w:rPr>
      </w:pPr>
      <w:r w:rsidRPr="009454B7">
        <w:rPr>
          <w:rFonts w:cstheme="minorHAnsi"/>
          <w:b/>
          <w:bCs/>
          <w:i/>
          <w:iCs/>
          <w:sz w:val="24"/>
          <w:szCs w:val="24"/>
        </w:rPr>
        <w:lastRenderedPageBreak/>
        <w:t>For social landlords, the accountable person will probably be a team of people, meaning that the social landlord would face a hefty fine.</w:t>
      </w:r>
    </w:p>
    <w:p w14:paraId="5643099B" w14:textId="1EFB0238" w:rsidR="00DA46C5" w:rsidRPr="009454B7" w:rsidRDefault="00DA46C5" w:rsidP="00A44C13">
      <w:pPr>
        <w:rPr>
          <w:rFonts w:cstheme="minorHAnsi"/>
          <w:sz w:val="24"/>
          <w:szCs w:val="24"/>
        </w:rPr>
      </w:pPr>
      <w:r w:rsidRPr="009454B7">
        <w:rPr>
          <w:rFonts w:cstheme="minorHAnsi"/>
          <w:sz w:val="24"/>
          <w:szCs w:val="24"/>
        </w:rPr>
        <w:t>Poor performing building control bodies will be held to account and could be removed from BSR’s register. If a director</w:t>
      </w:r>
      <w:r w:rsidR="009A2577" w:rsidRPr="009454B7">
        <w:rPr>
          <w:rFonts w:cstheme="minorHAnsi"/>
          <w:sz w:val="24"/>
          <w:szCs w:val="24"/>
        </w:rPr>
        <w:t>/executive</w:t>
      </w:r>
      <w:r w:rsidRPr="009454B7">
        <w:rPr>
          <w:rFonts w:cstheme="minorHAnsi"/>
          <w:sz w:val="24"/>
          <w:szCs w:val="24"/>
        </w:rPr>
        <w:t xml:space="preserve"> of a corporate body</w:t>
      </w:r>
      <w:r w:rsidR="00A771F8" w:rsidRPr="009454B7">
        <w:rPr>
          <w:rFonts w:cstheme="minorHAnsi"/>
          <w:sz w:val="24"/>
          <w:szCs w:val="24"/>
        </w:rPr>
        <w:t>,</w:t>
      </w:r>
      <w:r w:rsidRPr="009454B7">
        <w:rPr>
          <w:rFonts w:cstheme="minorHAnsi"/>
          <w:sz w:val="24"/>
          <w:szCs w:val="24"/>
        </w:rPr>
        <w:t xml:space="preserve"> that has committed an offence, has </w:t>
      </w:r>
      <w:r w:rsidR="009A2577" w:rsidRPr="009454B7">
        <w:rPr>
          <w:rFonts w:cstheme="minorHAnsi"/>
          <w:sz w:val="24"/>
          <w:szCs w:val="24"/>
        </w:rPr>
        <w:t>‘</w:t>
      </w:r>
      <w:r w:rsidRPr="009454B7">
        <w:rPr>
          <w:rFonts w:cstheme="minorHAnsi"/>
          <w:b/>
          <w:bCs/>
          <w:sz w:val="24"/>
          <w:szCs w:val="24"/>
        </w:rPr>
        <w:t>consented or connived</w:t>
      </w:r>
      <w:r w:rsidR="009A2577" w:rsidRPr="009454B7">
        <w:rPr>
          <w:rFonts w:cstheme="minorHAnsi"/>
          <w:b/>
          <w:bCs/>
          <w:sz w:val="24"/>
          <w:szCs w:val="24"/>
        </w:rPr>
        <w:t xml:space="preserve"> with or allowed through neglect’</w:t>
      </w:r>
      <w:r w:rsidRPr="009454B7">
        <w:rPr>
          <w:rFonts w:cstheme="minorHAnsi"/>
          <w:sz w:val="24"/>
          <w:szCs w:val="24"/>
        </w:rPr>
        <w:t xml:space="preserve"> </w:t>
      </w:r>
      <w:r w:rsidR="00A771F8" w:rsidRPr="009454B7">
        <w:rPr>
          <w:rFonts w:cstheme="minorHAnsi"/>
          <w:sz w:val="24"/>
          <w:szCs w:val="24"/>
        </w:rPr>
        <w:t>that offence,</w:t>
      </w:r>
      <w:r w:rsidRPr="009454B7">
        <w:rPr>
          <w:rFonts w:cstheme="minorHAnsi"/>
          <w:sz w:val="24"/>
          <w:szCs w:val="24"/>
        </w:rPr>
        <w:t xml:space="preserve"> they may also be prosecuted.</w:t>
      </w:r>
    </w:p>
    <w:p w14:paraId="34E76B38" w14:textId="26BA0461" w:rsidR="00DA46C5" w:rsidRPr="009454B7" w:rsidRDefault="00DA46C5" w:rsidP="00A44C13">
      <w:pPr>
        <w:rPr>
          <w:rFonts w:cstheme="minorHAnsi"/>
          <w:sz w:val="24"/>
          <w:szCs w:val="24"/>
        </w:rPr>
      </w:pPr>
      <w:r w:rsidRPr="009454B7">
        <w:rPr>
          <w:rFonts w:cstheme="minorHAnsi"/>
          <w:sz w:val="24"/>
          <w:szCs w:val="24"/>
        </w:rPr>
        <w:t>The time limit for prosecution of these offences will be increased from 2 to 10 years.</w:t>
      </w:r>
    </w:p>
    <w:p w14:paraId="4946C65E" w14:textId="675B52FD" w:rsidR="00655314" w:rsidRPr="009454B7" w:rsidRDefault="00655314" w:rsidP="00A44C13">
      <w:pPr>
        <w:rPr>
          <w:rFonts w:cstheme="minorHAnsi"/>
          <w:b/>
          <w:bCs/>
          <w:sz w:val="24"/>
          <w:szCs w:val="24"/>
        </w:rPr>
      </w:pPr>
      <w:r w:rsidRPr="009454B7">
        <w:rPr>
          <w:rFonts w:cstheme="minorHAnsi"/>
          <w:b/>
          <w:bCs/>
          <w:sz w:val="24"/>
          <w:szCs w:val="24"/>
        </w:rPr>
        <w:t>The table</w:t>
      </w:r>
      <w:r w:rsidR="00D96FF3" w:rsidRPr="009454B7">
        <w:rPr>
          <w:rFonts w:cstheme="minorHAnsi"/>
          <w:b/>
          <w:bCs/>
          <w:sz w:val="24"/>
          <w:szCs w:val="24"/>
        </w:rPr>
        <w:t xml:space="preserve"> below gives examples of breaches &amp; penalties:</w:t>
      </w:r>
    </w:p>
    <w:tbl>
      <w:tblPr>
        <w:tblStyle w:val="TableGrid"/>
        <w:tblW w:w="0" w:type="auto"/>
        <w:tblLook w:val="04A0" w:firstRow="1" w:lastRow="0" w:firstColumn="1" w:lastColumn="0" w:noHBand="0" w:noVBand="1"/>
      </w:tblPr>
      <w:tblGrid>
        <w:gridCol w:w="4508"/>
        <w:gridCol w:w="4508"/>
      </w:tblGrid>
      <w:tr w:rsidR="009454B7" w:rsidRPr="009454B7" w14:paraId="69BB48EB" w14:textId="77777777" w:rsidTr="009454B7">
        <w:tc>
          <w:tcPr>
            <w:tcW w:w="4508" w:type="dxa"/>
            <w:shd w:val="clear" w:color="auto" w:fill="CCCCFF"/>
          </w:tcPr>
          <w:p w14:paraId="71695EB6" w14:textId="38E68264" w:rsidR="00D96FF3" w:rsidRPr="009454B7" w:rsidRDefault="00D96FF3" w:rsidP="00A44C13">
            <w:pPr>
              <w:rPr>
                <w:rFonts w:cstheme="minorHAnsi"/>
                <w:b/>
                <w:bCs/>
                <w:sz w:val="24"/>
                <w:szCs w:val="24"/>
              </w:rPr>
            </w:pPr>
            <w:r w:rsidRPr="009454B7">
              <w:rPr>
                <w:rFonts w:cstheme="minorHAnsi"/>
                <w:b/>
                <w:bCs/>
                <w:sz w:val="24"/>
                <w:szCs w:val="24"/>
              </w:rPr>
              <w:t>Breach</w:t>
            </w:r>
          </w:p>
        </w:tc>
        <w:tc>
          <w:tcPr>
            <w:tcW w:w="4508" w:type="dxa"/>
            <w:shd w:val="clear" w:color="auto" w:fill="CCCCFF"/>
          </w:tcPr>
          <w:p w14:paraId="304F13BA" w14:textId="77777777" w:rsidR="00D96FF3" w:rsidRPr="009454B7" w:rsidRDefault="00D96FF3" w:rsidP="00A44C13">
            <w:pPr>
              <w:rPr>
                <w:rFonts w:cstheme="minorHAnsi"/>
                <w:b/>
                <w:bCs/>
                <w:sz w:val="24"/>
                <w:szCs w:val="24"/>
              </w:rPr>
            </w:pPr>
            <w:r w:rsidRPr="009454B7">
              <w:rPr>
                <w:rFonts w:cstheme="minorHAnsi"/>
                <w:b/>
                <w:bCs/>
                <w:sz w:val="24"/>
                <w:szCs w:val="24"/>
              </w:rPr>
              <w:t>Potential Criminal Penalty</w:t>
            </w:r>
          </w:p>
          <w:p w14:paraId="72636234" w14:textId="2F5022AD" w:rsidR="009454B7" w:rsidRPr="009454B7" w:rsidRDefault="009454B7" w:rsidP="00A44C13">
            <w:pPr>
              <w:rPr>
                <w:rFonts w:cstheme="minorHAnsi"/>
                <w:b/>
                <w:bCs/>
                <w:sz w:val="24"/>
                <w:szCs w:val="24"/>
              </w:rPr>
            </w:pPr>
          </w:p>
        </w:tc>
      </w:tr>
      <w:tr w:rsidR="009454B7" w:rsidRPr="009454B7" w14:paraId="56C992B8" w14:textId="77777777" w:rsidTr="00D96FF3">
        <w:tc>
          <w:tcPr>
            <w:tcW w:w="4508" w:type="dxa"/>
          </w:tcPr>
          <w:p w14:paraId="50E94C17" w14:textId="3E37564C" w:rsidR="00D96FF3" w:rsidRPr="009454B7" w:rsidRDefault="00D96FF3" w:rsidP="00D96FF3">
            <w:pPr>
              <w:rPr>
                <w:rFonts w:cstheme="minorHAnsi"/>
                <w:sz w:val="24"/>
                <w:szCs w:val="24"/>
              </w:rPr>
            </w:pPr>
            <w:r w:rsidRPr="009454B7">
              <w:rPr>
                <w:rFonts w:cstheme="minorHAnsi"/>
                <w:sz w:val="24"/>
                <w:szCs w:val="24"/>
              </w:rPr>
              <w:t>Fail</w:t>
            </w:r>
            <w:r w:rsidR="00277E64" w:rsidRPr="009454B7">
              <w:rPr>
                <w:rFonts w:cstheme="minorHAnsi"/>
                <w:sz w:val="24"/>
                <w:szCs w:val="24"/>
              </w:rPr>
              <w:t>ure</w:t>
            </w:r>
            <w:r w:rsidRPr="009454B7">
              <w:rPr>
                <w:rFonts w:cstheme="minorHAnsi"/>
                <w:sz w:val="24"/>
                <w:szCs w:val="24"/>
              </w:rPr>
              <w:t xml:space="preserve"> to appoint an Accountable Person or Building Safety Manager as soon as practicable with skills &amp; knowledge to carry out the role.</w:t>
            </w:r>
          </w:p>
        </w:tc>
        <w:tc>
          <w:tcPr>
            <w:tcW w:w="4508" w:type="dxa"/>
          </w:tcPr>
          <w:p w14:paraId="5B818546" w14:textId="48392A8E" w:rsidR="00D96FF3" w:rsidRPr="009454B7" w:rsidRDefault="00277E64" w:rsidP="00D96FF3">
            <w:pPr>
              <w:rPr>
                <w:rFonts w:cstheme="minorHAnsi"/>
                <w:sz w:val="24"/>
                <w:szCs w:val="24"/>
              </w:rPr>
            </w:pPr>
            <w:r w:rsidRPr="009454B7">
              <w:rPr>
                <w:rFonts w:cstheme="minorHAnsi"/>
                <w:sz w:val="24"/>
                <w:szCs w:val="24"/>
              </w:rPr>
              <w:t>A</w:t>
            </w:r>
            <w:r w:rsidR="00D96FF3" w:rsidRPr="009454B7">
              <w:rPr>
                <w:rFonts w:cstheme="minorHAnsi"/>
                <w:sz w:val="24"/>
                <w:szCs w:val="24"/>
              </w:rPr>
              <w:t xml:space="preserve"> prison term of up to two years</w:t>
            </w:r>
          </w:p>
          <w:p w14:paraId="155FCC28" w14:textId="77777777" w:rsidR="00277E64" w:rsidRPr="009454B7" w:rsidRDefault="00D96FF3" w:rsidP="00D96FF3">
            <w:pPr>
              <w:rPr>
                <w:rFonts w:cstheme="minorHAnsi"/>
                <w:sz w:val="24"/>
                <w:szCs w:val="24"/>
              </w:rPr>
            </w:pPr>
            <w:r w:rsidRPr="009454B7">
              <w:rPr>
                <w:rFonts w:cstheme="minorHAnsi"/>
                <w:sz w:val="24"/>
                <w:szCs w:val="24"/>
              </w:rPr>
              <w:t>or a fine or both</w:t>
            </w:r>
            <w:r w:rsidR="00277E64" w:rsidRPr="009454B7">
              <w:rPr>
                <w:rFonts w:cstheme="minorHAnsi"/>
                <w:sz w:val="24"/>
                <w:szCs w:val="24"/>
              </w:rPr>
              <w:t>.</w:t>
            </w:r>
          </w:p>
          <w:p w14:paraId="20A85657" w14:textId="7751BA2A" w:rsidR="00D96FF3" w:rsidRPr="009454B7" w:rsidRDefault="00D96FF3" w:rsidP="00D96FF3">
            <w:pPr>
              <w:rPr>
                <w:rFonts w:cstheme="minorHAnsi"/>
                <w:sz w:val="24"/>
                <w:szCs w:val="24"/>
              </w:rPr>
            </w:pPr>
            <w:r w:rsidRPr="009454B7">
              <w:rPr>
                <w:rFonts w:cstheme="minorHAnsi"/>
                <w:sz w:val="24"/>
                <w:szCs w:val="24"/>
              </w:rPr>
              <w:t>There will be a daily fine for continued</w:t>
            </w:r>
          </w:p>
          <w:p w14:paraId="2118FDB3" w14:textId="75051694" w:rsidR="00D96FF3" w:rsidRPr="009454B7" w:rsidRDefault="00D96FF3" w:rsidP="00D96FF3">
            <w:pPr>
              <w:rPr>
                <w:rFonts w:cstheme="minorHAnsi"/>
                <w:sz w:val="24"/>
                <w:szCs w:val="24"/>
              </w:rPr>
            </w:pPr>
            <w:r w:rsidRPr="009454B7">
              <w:rPr>
                <w:rFonts w:cstheme="minorHAnsi"/>
                <w:sz w:val="24"/>
                <w:szCs w:val="24"/>
              </w:rPr>
              <w:t>breach until a suitable individual is appointed.</w:t>
            </w:r>
          </w:p>
        </w:tc>
      </w:tr>
      <w:tr w:rsidR="009454B7" w:rsidRPr="009454B7" w14:paraId="68A7706B" w14:textId="77777777" w:rsidTr="00D96FF3">
        <w:tc>
          <w:tcPr>
            <w:tcW w:w="4508" w:type="dxa"/>
          </w:tcPr>
          <w:p w14:paraId="0E0E7CC1" w14:textId="5DD5099F" w:rsidR="00D96FF3" w:rsidRPr="009454B7" w:rsidRDefault="00277E64" w:rsidP="00277E64">
            <w:pPr>
              <w:rPr>
                <w:rFonts w:cstheme="minorHAnsi"/>
                <w:sz w:val="24"/>
                <w:szCs w:val="24"/>
              </w:rPr>
            </w:pPr>
            <w:r w:rsidRPr="009454B7">
              <w:rPr>
                <w:rFonts w:cstheme="minorHAnsi"/>
                <w:sz w:val="24"/>
                <w:szCs w:val="24"/>
              </w:rPr>
              <w:t>Failure to register a high-risk building with the BSR before it becomes occupied.</w:t>
            </w:r>
          </w:p>
        </w:tc>
        <w:tc>
          <w:tcPr>
            <w:tcW w:w="4508" w:type="dxa"/>
          </w:tcPr>
          <w:p w14:paraId="1699121D" w14:textId="77777777" w:rsidR="00D96FF3" w:rsidRPr="009454B7" w:rsidRDefault="00D96FF3" w:rsidP="00D96FF3">
            <w:pPr>
              <w:rPr>
                <w:rFonts w:cstheme="minorHAnsi"/>
                <w:sz w:val="24"/>
                <w:szCs w:val="24"/>
              </w:rPr>
            </w:pPr>
            <w:r w:rsidRPr="009454B7">
              <w:rPr>
                <w:rFonts w:cstheme="minorHAnsi"/>
                <w:sz w:val="24"/>
                <w:szCs w:val="24"/>
              </w:rPr>
              <w:t xml:space="preserve">An unlimited fine or imprisonment up to 51 weeks or both. </w:t>
            </w:r>
          </w:p>
          <w:p w14:paraId="5CD4BEC5" w14:textId="0958932B" w:rsidR="00D96FF3" w:rsidRPr="009454B7" w:rsidRDefault="00D96FF3" w:rsidP="00D96FF3">
            <w:pPr>
              <w:rPr>
                <w:rFonts w:cstheme="minorHAnsi"/>
                <w:sz w:val="24"/>
                <w:szCs w:val="24"/>
              </w:rPr>
            </w:pPr>
            <w:r w:rsidRPr="009454B7">
              <w:rPr>
                <w:rFonts w:cstheme="minorHAnsi"/>
                <w:sz w:val="24"/>
                <w:szCs w:val="24"/>
              </w:rPr>
              <w:t>A daily fine until the Accountable Person has made an application to register the building.</w:t>
            </w:r>
          </w:p>
        </w:tc>
      </w:tr>
      <w:tr w:rsidR="009454B7" w:rsidRPr="009454B7" w14:paraId="3912200C" w14:textId="77777777" w:rsidTr="00D96FF3">
        <w:tc>
          <w:tcPr>
            <w:tcW w:w="4508" w:type="dxa"/>
          </w:tcPr>
          <w:p w14:paraId="7914DCBE" w14:textId="7C67D3A7" w:rsidR="00277E64" w:rsidRPr="009454B7" w:rsidRDefault="00277E64" w:rsidP="005613F1">
            <w:pPr>
              <w:rPr>
                <w:rFonts w:cstheme="minorHAnsi"/>
                <w:sz w:val="24"/>
                <w:szCs w:val="24"/>
              </w:rPr>
            </w:pPr>
            <w:r w:rsidRPr="009454B7">
              <w:rPr>
                <w:rFonts w:cstheme="minorHAnsi"/>
                <w:sz w:val="24"/>
                <w:szCs w:val="24"/>
              </w:rPr>
              <w:t>Fail</w:t>
            </w:r>
            <w:r w:rsidR="005613F1" w:rsidRPr="009454B7">
              <w:rPr>
                <w:rFonts w:cstheme="minorHAnsi"/>
                <w:sz w:val="24"/>
                <w:szCs w:val="24"/>
              </w:rPr>
              <w:t>ure</w:t>
            </w:r>
            <w:r w:rsidRPr="009454B7">
              <w:rPr>
                <w:rFonts w:cstheme="minorHAnsi"/>
                <w:sz w:val="24"/>
                <w:szCs w:val="24"/>
              </w:rPr>
              <w:t xml:space="preserve"> to provide information or documentation to</w:t>
            </w:r>
            <w:r w:rsidR="005613F1" w:rsidRPr="009454B7">
              <w:rPr>
                <w:rFonts w:cstheme="minorHAnsi"/>
                <w:sz w:val="24"/>
                <w:szCs w:val="24"/>
              </w:rPr>
              <w:t xml:space="preserve"> </w:t>
            </w:r>
            <w:r w:rsidRPr="009454B7">
              <w:rPr>
                <w:rFonts w:cstheme="minorHAnsi"/>
                <w:sz w:val="24"/>
                <w:szCs w:val="24"/>
              </w:rPr>
              <w:t>the regulator.</w:t>
            </w:r>
          </w:p>
        </w:tc>
        <w:tc>
          <w:tcPr>
            <w:tcW w:w="4508" w:type="dxa"/>
          </w:tcPr>
          <w:p w14:paraId="30654B9A" w14:textId="68646AB0" w:rsidR="00277E64" w:rsidRPr="009454B7" w:rsidRDefault="005613F1" w:rsidP="005613F1">
            <w:pPr>
              <w:rPr>
                <w:rFonts w:cstheme="minorHAnsi"/>
                <w:sz w:val="24"/>
                <w:szCs w:val="24"/>
              </w:rPr>
            </w:pPr>
            <w:r w:rsidRPr="009454B7">
              <w:rPr>
                <w:rFonts w:cstheme="minorHAnsi"/>
                <w:sz w:val="24"/>
                <w:szCs w:val="24"/>
              </w:rPr>
              <w:t>maximum penalty of an unlimited fine, along with up to two years’ imprisonment in the Crown Court or 12 months in a Magistrates’ Court.</w:t>
            </w:r>
          </w:p>
        </w:tc>
      </w:tr>
      <w:tr w:rsidR="009454B7" w:rsidRPr="009454B7" w14:paraId="02358471" w14:textId="77777777" w:rsidTr="00D96FF3">
        <w:tc>
          <w:tcPr>
            <w:tcW w:w="4508" w:type="dxa"/>
          </w:tcPr>
          <w:p w14:paraId="7A90A570" w14:textId="5B07038A" w:rsidR="00D96FF3" w:rsidRPr="009454B7" w:rsidRDefault="00277E64" w:rsidP="00277E64">
            <w:pPr>
              <w:rPr>
                <w:rFonts w:cstheme="minorHAnsi"/>
                <w:sz w:val="24"/>
                <w:szCs w:val="24"/>
              </w:rPr>
            </w:pPr>
            <w:r w:rsidRPr="009454B7">
              <w:rPr>
                <w:rFonts w:cstheme="minorHAnsi"/>
                <w:sz w:val="24"/>
                <w:szCs w:val="24"/>
              </w:rPr>
              <w:t>Failure to provide information to the accountable person.</w:t>
            </w:r>
          </w:p>
        </w:tc>
        <w:tc>
          <w:tcPr>
            <w:tcW w:w="4508" w:type="dxa"/>
          </w:tcPr>
          <w:p w14:paraId="5F1F9EFF" w14:textId="77777777" w:rsidR="00277E64" w:rsidRPr="009454B7" w:rsidRDefault="00277E64" w:rsidP="00277E64">
            <w:pPr>
              <w:rPr>
                <w:rFonts w:cstheme="minorHAnsi"/>
                <w:sz w:val="24"/>
                <w:szCs w:val="24"/>
              </w:rPr>
            </w:pPr>
            <w:r w:rsidRPr="009454B7">
              <w:rPr>
                <w:rFonts w:cstheme="minorHAnsi"/>
                <w:sz w:val="24"/>
                <w:szCs w:val="24"/>
              </w:rPr>
              <w:t>A prison term of up to two years</w:t>
            </w:r>
          </w:p>
          <w:p w14:paraId="1A27C176" w14:textId="5B238649" w:rsidR="00D96FF3" w:rsidRPr="009454B7" w:rsidRDefault="00277E64" w:rsidP="00277E64">
            <w:pPr>
              <w:rPr>
                <w:rFonts w:cstheme="minorHAnsi"/>
                <w:sz w:val="24"/>
                <w:szCs w:val="24"/>
              </w:rPr>
            </w:pPr>
            <w:r w:rsidRPr="009454B7">
              <w:rPr>
                <w:rFonts w:cstheme="minorHAnsi"/>
                <w:sz w:val="24"/>
                <w:szCs w:val="24"/>
              </w:rPr>
              <w:t>or a fine or both.</w:t>
            </w:r>
          </w:p>
        </w:tc>
      </w:tr>
      <w:tr w:rsidR="009454B7" w:rsidRPr="009454B7" w14:paraId="1E043DAB" w14:textId="77777777" w:rsidTr="00D96FF3">
        <w:tc>
          <w:tcPr>
            <w:tcW w:w="4508" w:type="dxa"/>
          </w:tcPr>
          <w:p w14:paraId="0AFA2AFC" w14:textId="5F2B0A60" w:rsidR="00277E64" w:rsidRPr="009454B7" w:rsidRDefault="00277E64" w:rsidP="00277E64">
            <w:pPr>
              <w:rPr>
                <w:rFonts w:cstheme="minorHAnsi"/>
                <w:sz w:val="24"/>
                <w:szCs w:val="24"/>
              </w:rPr>
            </w:pPr>
            <w:r w:rsidRPr="009454B7">
              <w:rPr>
                <w:rFonts w:cstheme="minorHAnsi"/>
                <w:sz w:val="24"/>
                <w:szCs w:val="24"/>
              </w:rPr>
              <w:t>Provid</w:t>
            </w:r>
            <w:r w:rsidR="005613F1" w:rsidRPr="009454B7">
              <w:rPr>
                <w:rFonts w:cstheme="minorHAnsi"/>
                <w:sz w:val="24"/>
                <w:szCs w:val="24"/>
              </w:rPr>
              <w:t>e</w:t>
            </w:r>
            <w:r w:rsidRPr="009454B7">
              <w:rPr>
                <w:rFonts w:cstheme="minorHAnsi"/>
                <w:sz w:val="24"/>
                <w:szCs w:val="24"/>
              </w:rPr>
              <w:t xml:space="preserve"> false or misleading information to the BSR.</w:t>
            </w:r>
          </w:p>
        </w:tc>
        <w:tc>
          <w:tcPr>
            <w:tcW w:w="4508" w:type="dxa"/>
          </w:tcPr>
          <w:p w14:paraId="01A1EC3D" w14:textId="77777777" w:rsidR="00277E64" w:rsidRPr="009454B7" w:rsidRDefault="00277E64" w:rsidP="00277E64">
            <w:pPr>
              <w:rPr>
                <w:rFonts w:cstheme="minorHAnsi"/>
                <w:sz w:val="24"/>
                <w:szCs w:val="24"/>
              </w:rPr>
            </w:pPr>
            <w:r w:rsidRPr="009454B7">
              <w:rPr>
                <w:rFonts w:cstheme="minorHAnsi"/>
                <w:sz w:val="24"/>
                <w:szCs w:val="24"/>
              </w:rPr>
              <w:t>A prison term of up to two years</w:t>
            </w:r>
          </w:p>
          <w:p w14:paraId="3A4FAF48" w14:textId="3BF0979C" w:rsidR="00277E64" w:rsidRPr="009454B7" w:rsidRDefault="00277E64" w:rsidP="00277E64">
            <w:pPr>
              <w:rPr>
                <w:rFonts w:cstheme="minorHAnsi"/>
                <w:sz w:val="24"/>
                <w:szCs w:val="24"/>
              </w:rPr>
            </w:pPr>
            <w:r w:rsidRPr="009454B7">
              <w:rPr>
                <w:rFonts w:cstheme="minorHAnsi"/>
                <w:sz w:val="24"/>
                <w:szCs w:val="24"/>
              </w:rPr>
              <w:t>or a fine or both.</w:t>
            </w:r>
          </w:p>
        </w:tc>
      </w:tr>
      <w:tr w:rsidR="00D96FF3" w:rsidRPr="009454B7" w14:paraId="2282DD1D" w14:textId="77777777" w:rsidTr="00D96FF3">
        <w:tc>
          <w:tcPr>
            <w:tcW w:w="4508" w:type="dxa"/>
          </w:tcPr>
          <w:p w14:paraId="5A269BD8" w14:textId="6C6BA0F6" w:rsidR="00D96FF3" w:rsidRPr="009454B7" w:rsidRDefault="00277E64" w:rsidP="00277E64">
            <w:pPr>
              <w:rPr>
                <w:rFonts w:cstheme="minorHAnsi"/>
                <w:sz w:val="24"/>
                <w:szCs w:val="24"/>
              </w:rPr>
            </w:pPr>
            <w:r w:rsidRPr="009454B7">
              <w:rPr>
                <w:rFonts w:cstheme="minorHAnsi"/>
                <w:sz w:val="24"/>
                <w:szCs w:val="24"/>
              </w:rPr>
              <w:t xml:space="preserve">Obstruction of authorised officers, e.g. carrying out an inspection for the BSR. </w:t>
            </w:r>
          </w:p>
        </w:tc>
        <w:tc>
          <w:tcPr>
            <w:tcW w:w="4508" w:type="dxa"/>
          </w:tcPr>
          <w:p w14:paraId="1635A18A" w14:textId="112438DA" w:rsidR="00D96FF3" w:rsidRPr="009454B7" w:rsidRDefault="00277E64" w:rsidP="00277E64">
            <w:pPr>
              <w:rPr>
                <w:rFonts w:cstheme="minorHAnsi"/>
                <w:sz w:val="24"/>
                <w:szCs w:val="24"/>
              </w:rPr>
            </w:pPr>
            <w:r w:rsidRPr="009454B7">
              <w:rPr>
                <w:rFonts w:cstheme="minorHAnsi"/>
                <w:sz w:val="24"/>
                <w:szCs w:val="24"/>
              </w:rPr>
              <w:t>A maximum fine of £1,000</w:t>
            </w:r>
            <w:r w:rsidR="005613F1" w:rsidRPr="009454B7">
              <w:rPr>
                <w:rFonts w:cstheme="minorHAnsi"/>
                <w:sz w:val="24"/>
                <w:szCs w:val="24"/>
              </w:rPr>
              <w:t xml:space="preserve"> in a Magistrates’ Court</w:t>
            </w:r>
            <w:r w:rsidRPr="009454B7">
              <w:rPr>
                <w:rFonts w:cstheme="minorHAnsi"/>
                <w:sz w:val="24"/>
                <w:szCs w:val="24"/>
              </w:rPr>
              <w:t>.</w:t>
            </w:r>
          </w:p>
        </w:tc>
      </w:tr>
    </w:tbl>
    <w:p w14:paraId="358BA8B9" w14:textId="5884606E" w:rsidR="00D96FF3" w:rsidRPr="009454B7" w:rsidRDefault="00D96FF3" w:rsidP="00A44C13">
      <w:pPr>
        <w:rPr>
          <w:rFonts w:cstheme="minorHAnsi"/>
          <w:sz w:val="24"/>
          <w:szCs w:val="24"/>
        </w:rPr>
      </w:pPr>
    </w:p>
    <w:p w14:paraId="42D1978C" w14:textId="49758455" w:rsidR="005613F1" w:rsidRPr="009454B7" w:rsidRDefault="005613F1" w:rsidP="005613F1">
      <w:pPr>
        <w:rPr>
          <w:rFonts w:cstheme="minorHAnsi"/>
          <w:sz w:val="24"/>
          <w:szCs w:val="24"/>
        </w:rPr>
      </w:pPr>
      <w:r w:rsidRPr="009454B7">
        <w:rPr>
          <w:rFonts w:cstheme="minorHAnsi"/>
          <w:sz w:val="24"/>
          <w:szCs w:val="24"/>
        </w:rPr>
        <w:t>The BSR will also have the power to appoint a ‘</w:t>
      </w:r>
      <w:r w:rsidRPr="009454B7">
        <w:rPr>
          <w:rFonts w:cstheme="minorHAnsi"/>
          <w:b/>
          <w:bCs/>
          <w:sz w:val="24"/>
          <w:szCs w:val="24"/>
        </w:rPr>
        <w:t>Special Measures Manager’</w:t>
      </w:r>
      <w:r w:rsidRPr="009454B7">
        <w:rPr>
          <w:rFonts w:cstheme="minorHAnsi"/>
          <w:sz w:val="24"/>
          <w:szCs w:val="24"/>
        </w:rPr>
        <w:t xml:space="preserve">, to replace the Accountable Person and Building Safety Manager of a high-risk building where safety breaches have occurred.  </w:t>
      </w:r>
    </w:p>
    <w:p w14:paraId="342C967D" w14:textId="0B89DC35" w:rsidR="00310484" w:rsidRPr="009454B7" w:rsidRDefault="00310484" w:rsidP="005613F1">
      <w:pPr>
        <w:rPr>
          <w:rFonts w:cstheme="minorHAnsi"/>
          <w:b/>
          <w:bCs/>
          <w:sz w:val="24"/>
          <w:szCs w:val="24"/>
        </w:rPr>
      </w:pPr>
      <w:r w:rsidRPr="009454B7">
        <w:rPr>
          <w:rFonts w:cstheme="minorHAnsi"/>
          <w:b/>
          <w:bCs/>
          <w:sz w:val="24"/>
          <w:szCs w:val="24"/>
        </w:rPr>
        <w:t>To support the work of the BSR several new bodies will be</w:t>
      </w:r>
      <w:r w:rsidR="00A44C13" w:rsidRPr="009454B7">
        <w:rPr>
          <w:rFonts w:cstheme="minorHAnsi"/>
          <w:b/>
          <w:bCs/>
          <w:sz w:val="24"/>
          <w:szCs w:val="24"/>
        </w:rPr>
        <w:t xml:space="preserve"> created:</w:t>
      </w:r>
    </w:p>
    <w:p w14:paraId="6EE38AFF" w14:textId="6A6E62D3" w:rsidR="00A44C13" w:rsidRPr="009454B7" w:rsidRDefault="00A44C13" w:rsidP="00CA575E">
      <w:pPr>
        <w:pStyle w:val="ListParagraph"/>
        <w:numPr>
          <w:ilvl w:val="0"/>
          <w:numId w:val="7"/>
        </w:numPr>
        <w:rPr>
          <w:rFonts w:cstheme="minorHAnsi"/>
          <w:sz w:val="24"/>
          <w:szCs w:val="24"/>
        </w:rPr>
      </w:pPr>
      <w:r w:rsidRPr="009454B7">
        <w:rPr>
          <w:rFonts w:cstheme="minorHAnsi"/>
          <w:b/>
          <w:bCs/>
          <w:sz w:val="24"/>
          <w:szCs w:val="24"/>
        </w:rPr>
        <w:t>Building Regulations Advisory Committee</w:t>
      </w:r>
      <w:r w:rsidRPr="009454B7">
        <w:rPr>
          <w:rFonts w:cstheme="minorHAnsi"/>
          <w:sz w:val="24"/>
          <w:szCs w:val="24"/>
        </w:rPr>
        <w:t xml:space="preserve"> </w:t>
      </w:r>
      <w:r w:rsidR="00CA575E" w:rsidRPr="009454B7">
        <w:rPr>
          <w:rFonts w:cstheme="minorHAnsi"/>
          <w:sz w:val="24"/>
          <w:szCs w:val="24"/>
        </w:rPr>
        <w:t xml:space="preserve">- </w:t>
      </w:r>
      <w:r w:rsidRPr="009454B7">
        <w:rPr>
          <w:rFonts w:cstheme="minorHAnsi"/>
          <w:sz w:val="24"/>
          <w:szCs w:val="24"/>
        </w:rPr>
        <w:t xml:space="preserve">to produce evidence-based guidance on emerging built environment problems. The regulator will use this committee investigate </w:t>
      </w:r>
      <w:r w:rsidR="00CA575E" w:rsidRPr="009454B7">
        <w:rPr>
          <w:rFonts w:cstheme="minorHAnsi"/>
          <w:sz w:val="24"/>
          <w:szCs w:val="24"/>
        </w:rPr>
        <w:t>these issues</w:t>
      </w:r>
    </w:p>
    <w:p w14:paraId="2417AC73" w14:textId="713EEC67" w:rsidR="00CA575E" w:rsidRPr="009454B7" w:rsidRDefault="00CA575E" w:rsidP="00CA575E">
      <w:pPr>
        <w:pStyle w:val="ListParagraph"/>
        <w:numPr>
          <w:ilvl w:val="0"/>
          <w:numId w:val="7"/>
        </w:numPr>
        <w:rPr>
          <w:rFonts w:cstheme="minorHAnsi"/>
          <w:sz w:val="24"/>
          <w:szCs w:val="24"/>
        </w:rPr>
      </w:pPr>
      <w:r w:rsidRPr="009454B7">
        <w:rPr>
          <w:rFonts w:cstheme="minorHAnsi"/>
          <w:b/>
          <w:bCs/>
          <w:sz w:val="24"/>
          <w:szCs w:val="24"/>
        </w:rPr>
        <w:t xml:space="preserve">Competence Committee </w:t>
      </w:r>
      <w:r w:rsidRPr="009454B7">
        <w:rPr>
          <w:rFonts w:cstheme="minorHAnsi"/>
          <w:sz w:val="24"/>
          <w:szCs w:val="24"/>
        </w:rPr>
        <w:t>- this will improve the competence of workers and managers in the building safety sector with</w:t>
      </w:r>
      <w:r w:rsidR="00C13E1D" w:rsidRPr="009454B7">
        <w:rPr>
          <w:rFonts w:cstheme="minorHAnsi"/>
          <w:sz w:val="24"/>
          <w:szCs w:val="24"/>
        </w:rPr>
        <w:t xml:space="preserve"> non-statutory advice, guidance,</w:t>
      </w:r>
      <w:r w:rsidRPr="009454B7">
        <w:rPr>
          <w:rFonts w:cstheme="minorHAnsi"/>
          <w:sz w:val="24"/>
          <w:szCs w:val="24"/>
        </w:rPr>
        <w:t xml:space="preserve"> competence frameworks and capability training programmes</w:t>
      </w:r>
    </w:p>
    <w:p w14:paraId="0D8362C3" w14:textId="2DED615A" w:rsidR="005D6221" w:rsidRPr="009454B7" w:rsidRDefault="00CA575E" w:rsidP="00CA575E">
      <w:pPr>
        <w:pStyle w:val="ListParagraph"/>
        <w:numPr>
          <w:ilvl w:val="0"/>
          <w:numId w:val="7"/>
        </w:numPr>
        <w:rPr>
          <w:rFonts w:cstheme="minorHAnsi"/>
          <w:sz w:val="24"/>
          <w:szCs w:val="24"/>
        </w:rPr>
      </w:pPr>
      <w:r w:rsidRPr="009454B7">
        <w:rPr>
          <w:rFonts w:cstheme="minorHAnsi"/>
          <w:b/>
          <w:bCs/>
          <w:sz w:val="24"/>
          <w:szCs w:val="24"/>
        </w:rPr>
        <w:lastRenderedPageBreak/>
        <w:t>Residents Panel</w:t>
      </w:r>
      <w:r w:rsidRPr="009454B7">
        <w:rPr>
          <w:rFonts w:cstheme="minorHAnsi"/>
          <w:sz w:val="24"/>
          <w:szCs w:val="24"/>
        </w:rPr>
        <w:t xml:space="preserve"> - This will include residents from multi-storey flats and tenant</w:t>
      </w:r>
      <w:r w:rsidR="00C13E1D" w:rsidRPr="009454B7">
        <w:rPr>
          <w:rFonts w:cstheme="minorHAnsi"/>
          <w:sz w:val="24"/>
          <w:szCs w:val="24"/>
        </w:rPr>
        <w:t>’</w:t>
      </w:r>
      <w:r w:rsidRPr="009454B7">
        <w:rPr>
          <w:rFonts w:cstheme="minorHAnsi"/>
          <w:sz w:val="24"/>
          <w:szCs w:val="24"/>
        </w:rPr>
        <w:t>s groups</w:t>
      </w:r>
      <w:r w:rsidR="00C13E1D" w:rsidRPr="009454B7">
        <w:rPr>
          <w:rFonts w:cstheme="minorHAnsi"/>
          <w:sz w:val="24"/>
          <w:szCs w:val="24"/>
        </w:rPr>
        <w:t xml:space="preserve"> and will </w:t>
      </w:r>
      <w:r w:rsidR="005D6221" w:rsidRPr="009454B7">
        <w:rPr>
          <w:rFonts w:cstheme="minorHAnsi"/>
          <w:sz w:val="24"/>
          <w:szCs w:val="24"/>
        </w:rPr>
        <w:t xml:space="preserve">ensure they have a voice in the development of the </w:t>
      </w:r>
      <w:r w:rsidR="005765FF" w:rsidRPr="009454B7">
        <w:rPr>
          <w:rFonts w:cstheme="minorHAnsi"/>
          <w:sz w:val="24"/>
          <w:szCs w:val="24"/>
        </w:rPr>
        <w:t>R</w:t>
      </w:r>
      <w:r w:rsidR="005D6221" w:rsidRPr="009454B7">
        <w:rPr>
          <w:rFonts w:cstheme="minorHAnsi"/>
          <w:sz w:val="24"/>
          <w:szCs w:val="24"/>
        </w:rPr>
        <w:t>egulator’s work.</w:t>
      </w:r>
      <w:r w:rsidRPr="009454B7">
        <w:rPr>
          <w:rFonts w:cstheme="minorHAnsi"/>
          <w:sz w:val="24"/>
          <w:szCs w:val="24"/>
        </w:rPr>
        <w:t xml:space="preserve"> </w:t>
      </w:r>
      <w:r w:rsidR="00C13E1D" w:rsidRPr="009454B7">
        <w:rPr>
          <w:rFonts w:cstheme="minorHAnsi"/>
          <w:sz w:val="24"/>
          <w:szCs w:val="24"/>
        </w:rPr>
        <w:t>The BSR will have a statutory obligation to regularly report how it engages residents in it work</w:t>
      </w:r>
    </w:p>
    <w:p w14:paraId="5CDC2297" w14:textId="6FF8F4E3" w:rsidR="005D6221" w:rsidRPr="009454B7" w:rsidRDefault="005D6221">
      <w:pPr>
        <w:rPr>
          <w:rFonts w:cstheme="minorHAnsi"/>
          <w:sz w:val="24"/>
          <w:szCs w:val="24"/>
        </w:rPr>
      </w:pPr>
      <w:bookmarkStart w:id="0" w:name="_Hlk53315407"/>
      <w:r w:rsidRPr="009454B7">
        <w:rPr>
          <w:rFonts w:cstheme="minorHAnsi"/>
          <w:sz w:val="24"/>
          <w:szCs w:val="24"/>
        </w:rPr>
        <w:t>The draft Bill also commits to ensuring leaseholders are not left to pick up the tab for “unaffordable” historic safety repairs</w:t>
      </w:r>
      <w:bookmarkEnd w:id="0"/>
      <w:r w:rsidRPr="009454B7">
        <w:rPr>
          <w:rFonts w:cstheme="minorHAnsi"/>
          <w:sz w:val="24"/>
          <w:szCs w:val="24"/>
        </w:rPr>
        <w:t>, and throughout the draft stage the Government says it will continue to engage with stakeholders on how this will be achieved, including working with financial and insurance industries to protect leaseholders, without relying on taxpayers’ money.</w:t>
      </w:r>
    </w:p>
    <w:p w14:paraId="3CD790D7" w14:textId="459ACEC9" w:rsidR="001D617E" w:rsidRPr="009454B7" w:rsidRDefault="001D617E">
      <w:pPr>
        <w:rPr>
          <w:rFonts w:cstheme="minorHAnsi"/>
          <w:sz w:val="24"/>
          <w:szCs w:val="24"/>
        </w:rPr>
      </w:pPr>
      <w:r w:rsidRPr="009454B7">
        <w:rPr>
          <w:rFonts w:cstheme="minorHAnsi"/>
          <w:b/>
          <w:bCs/>
          <w:sz w:val="24"/>
          <w:szCs w:val="24"/>
        </w:rPr>
        <w:t>A Building Safety Charge</w:t>
      </w:r>
      <w:r w:rsidRPr="009454B7">
        <w:rPr>
          <w:rFonts w:cstheme="minorHAnsi"/>
          <w:sz w:val="24"/>
          <w:szCs w:val="24"/>
        </w:rPr>
        <w:t xml:space="preserve"> is proposed for </w:t>
      </w:r>
      <w:r w:rsidRPr="009454B7">
        <w:rPr>
          <w:rFonts w:cstheme="minorHAnsi"/>
          <w:b/>
          <w:bCs/>
          <w:sz w:val="24"/>
          <w:szCs w:val="24"/>
        </w:rPr>
        <w:t>leaseholde</w:t>
      </w:r>
      <w:r w:rsidRPr="009454B7">
        <w:rPr>
          <w:rFonts w:cstheme="minorHAnsi"/>
          <w:sz w:val="24"/>
          <w:szCs w:val="24"/>
        </w:rPr>
        <w:t xml:space="preserve">rs which will </w:t>
      </w:r>
      <w:r w:rsidR="00A771F8" w:rsidRPr="009454B7">
        <w:rPr>
          <w:rFonts w:cstheme="minorHAnsi"/>
          <w:sz w:val="24"/>
          <w:szCs w:val="24"/>
        </w:rPr>
        <w:t xml:space="preserve">cover </w:t>
      </w:r>
      <w:r w:rsidRPr="009454B7">
        <w:rPr>
          <w:rFonts w:cstheme="minorHAnsi"/>
          <w:sz w:val="24"/>
          <w:szCs w:val="24"/>
        </w:rPr>
        <w:t xml:space="preserve">fire safety </w:t>
      </w:r>
      <w:r w:rsidR="00A771F8" w:rsidRPr="009454B7">
        <w:rPr>
          <w:rFonts w:cstheme="minorHAnsi"/>
          <w:sz w:val="24"/>
          <w:szCs w:val="24"/>
        </w:rPr>
        <w:t xml:space="preserve">works </w:t>
      </w:r>
      <w:r w:rsidRPr="009454B7">
        <w:rPr>
          <w:rFonts w:cstheme="minorHAnsi"/>
          <w:sz w:val="24"/>
          <w:szCs w:val="24"/>
        </w:rPr>
        <w:t>currently funded out of service charges. Freeholders will be required to have a separate account exclusively for this new charge.</w:t>
      </w:r>
    </w:p>
    <w:p w14:paraId="5B1AB414" w14:textId="3D65E87F" w:rsidR="001D617E" w:rsidRPr="009454B7" w:rsidRDefault="001D617E">
      <w:pPr>
        <w:rPr>
          <w:rFonts w:cstheme="minorHAnsi"/>
          <w:sz w:val="24"/>
          <w:szCs w:val="24"/>
        </w:rPr>
      </w:pPr>
      <w:r w:rsidRPr="009454B7">
        <w:rPr>
          <w:rFonts w:cstheme="minorHAnsi"/>
          <w:sz w:val="24"/>
          <w:szCs w:val="24"/>
        </w:rPr>
        <w:t xml:space="preserve">If there is not a clear breakdown of costs or the </w:t>
      </w:r>
      <w:r w:rsidR="00A771F8" w:rsidRPr="009454B7">
        <w:rPr>
          <w:rFonts w:cstheme="minorHAnsi"/>
          <w:sz w:val="24"/>
          <w:szCs w:val="24"/>
        </w:rPr>
        <w:t>Building Safety C</w:t>
      </w:r>
      <w:r w:rsidRPr="009454B7">
        <w:rPr>
          <w:rFonts w:cstheme="minorHAnsi"/>
          <w:sz w:val="24"/>
          <w:szCs w:val="24"/>
        </w:rPr>
        <w:t>harge is ‘unreasonable’ a leaseholder will be allowed to refuse to pay.</w:t>
      </w:r>
    </w:p>
    <w:p w14:paraId="7583BB0E" w14:textId="09951F0A" w:rsidR="00E861C3" w:rsidRPr="009454B7" w:rsidRDefault="005D6221" w:rsidP="00E861C3">
      <w:pPr>
        <w:rPr>
          <w:rFonts w:cstheme="minorHAnsi"/>
          <w:sz w:val="24"/>
          <w:szCs w:val="24"/>
        </w:rPr>
      </w:pPr>
      <w:r w:rsidRPr="009454B7">
        <w:rPr>
          <w:rFonts w:cstheme="minorHAnsi"/>
          <w:sz w:val="24"/>
          <w:szCs w:val="24"/>
        </w:rPr>
        <w:t xml:space="preserve">Whilst much of the </w:t>
      </w:r>
      <w:r w:rsidR="005765FF" w:rsidRPr="009454B7">
        <w:rPr>
          <w:rFonts w:cstheme="minorHAnsi"/>
          <w:sz w:val="24"/>
          <w:szCs w:val="24"/>
        </w:rPr>
        <w:t>B</w:t>
      </w:r>
      <w:r w:rsidRPr="009454B7">
        <w:rPr>
          <w:rFonts w:cstheme="minorHAnsi"/>
          <w:sz w:val="24"/>
          <w:szCs w:val="24"/>
        </w:rPr>
        <w:t xml:space="preserve">ill focuses on safety in high-rise blocks and higher risk properties, it also legislates that </w:t>
      </w:r>
      <w:r w:rsidRPr="009454B7">
        <w:rPr>
          <w:rFonts w:cstheme="minorHAnsi"/>
          <w:b/>
          <w:bCs/>
          <w:sz w:val="24"/>
          <w:szCs w:val="24"/>
        </w:rPr>
        <w:t>buyers of new-build homes</w:t>
      </w:r>
      <w:r w:rsidRPr="009454B7">
        <w:rPr>
          <w:rFonts w:cstheme="minorHAnsi"/>
          <w:sz w:val="24"/>
          <w:szCs w:val="24"/>
        </w:rPr>
        <w:t xml:space="preserve"> will have the legal right </w:t>
      </w:r>
      <w:r w:rsidRPr="009454B7">
        <w:rPr>
          <w:rFonts w:cstheme="minorHAnsi"/>
          <w:b/>
          <w:bCs/>
          <w:sz w:val="24"/>
          <w:szCs w:val="24"/>
        </w:rPr>
        <w:t>to complain to a New Homes Ombudsman</w:t>
      </w:r>
      <w:r w:rsidRPr="009454B7">
        <w:rPr>
          <w:rFonts w:cstheme="minorHAnsi"/>
          <w:sz w:val="24"/>
          <w:szCs w:val="24"/>
        </w:rPr>
        <w:t xml:space="preserve">, to which all developers must be signed up, and which has the power to require developers </w:t>
      </w:r>
      <w:r w:rsidR="005765FF" w:rsidRPr="009454B7">
        <w:rPr>
          <w:rFonts w:cstheme="minorHAnsi"/>
          <w:sz w:val="24"/>
          <w:szCs w:val="24"/>
        </w:rPr>
        <w:t>to</w:t>
      </w:r>
      <w:r w:rsidRPr="009454B7">
        <w:rPr>
          <w:rFonts w:cstheme="minorHAnsi"/>
          <w:sz w:val="24"/>
          <w:szCs w:val="24"/>
        </w:rPr>
        <w:t xml:space="preserve"> pay compensation.</w:t>
      </w:r>
    </w:p>
    <w:p w14:paraId="0AC6E228" w14:textId="36C6B63B" w:rsidR="002132FD" w:rsidRPr="009454B7" w:rsidRDefault="002132FD" w:rsidP="002132FD">
      <w:pPr>
        <w:spacing w:after="0"/>
        <w:rPr>
          <w:rFonts w:cstheme="minorHAnsi"/>
          <w:sz w:val="24"/>
          <w:szCs w:val="24"/>
        </w:rPr>
      </w:pPr>
      <w:r w:rsidRPr="009454B7">
        <w:rPr>
          <w:rFonts w:cstheme="minorHAnsi"/>
          <w:sz w:val="24"/>
          <w:szCs w:val="24"/>
        </w:rPr>
        <w:t xml:space="preserve">As part of this scheme </w:t>
      </w:r>
      <w:r w:rsidRPr="009454B7">
        <w:rPr>
          <w:rFonts w:cstheme="minorHAnsi"/>
          <w:b/>
          <w:bCs/>
          <w:sz w:val="24"/>
          <w:szCs w:val="24"/>
        </w:rPr>
        <w:t>the</w:t>
      </w:r>
      <w:r w:rsidR="00A771F8" w:rsidRPr="009454B7">
        <w:rPr>
          <w:rFonts w:cstheme="minorHAnsi"/>
          <w:b/>
          <w:bCs/>
          <w:sz w:val="24"/>
          <w:szCs w:val="24"/>
        </w:rPr>
        <w:t xml:space="preserve"> Ombudsman</w:t>
      </w:r>
      <w:r w:rsidRPr="009454B7">
        <w:rPr>
          <w:rFonts w:cstheme="minorHAnsi"/>
          <w:b/>
          <w:bCs/>
          <w:sz w:val="24"/>
          <w:szCs w:val="24"/>
        </w:rPr>
        <w:t xml:space="preserve"> will</w:t>
      </w:r>
      <w:r w:rsidRPr="009454B7">
        <w:rPr>
          <w:rFonts w:cstheme="minorHAnsi"/>
          <w:sz w:val="24"/>
          <w:szCs w:val="24"/>
        </w:rPr>
        <w:t xml:space="preserve"> ensure there is a code of practice for new build covering:</w:t>
      </w:r>
    </w:p>
    <w:p w14:paraId="26DAF05E" w14:textId="045E9873" w:rsidR="002132FD" w:rsidRPr="009454B7" w:rsidRDefault="002132FD" w:rsidP="002132FD">
      <w:pPr>
        <w:pStyle w:val="ListParagraph"/>
        <w:numPr>
          <w:ilvl w:val="0"/>
          <w:numId w:val="12"/>
        </w:numPr>
        <w:rPr>
          <w:rFonts w:cstheme="minorHAnsi"/>
          <w:sz w:val="24"/>
          <w:szCs w:val="24"/>
        </w:rPr>
      </w:pPr>
      <w:r w:rsidRPr="009454B7">
        <w:rPr>
          <w:rFonts w:cstheme="minorHAnsi"/>
          <w:sz w:val="24"/>
          <w:szCs w:val="24"/>
        </w:rPr>
        <w:t>sales</w:t>
      </w:r>
    </w:p>
    <w:p w14:paraId="4B62C2B3" w14:textId="77777777" w:rsidR="002132FD" w:rsidRPr="009454B7" w:rsidRDefault="002132FD" w:rsidP="002132FD">
      <w:pPr>
        <w:pStyle w:val="ListParagraph"/>
        <w:numPr>
          <w:ilvl w:val="0"/>
          <w:numId w:val="12"/>
        </w:numPr>
        <w:rPr>
          <w:rFonts w:cstheme="minorHAnsi"/>
          <w:sz w:val="24"/>
          <w:szCs w:val="24"/>
        </w:rPr>
      </w:pPr>
      <w:r w:rsidRPr="009454B7">
        <w:rPr>
          <w:rFonts w:cstheme="minorHAnsi"/>
          <w:sz w:val="24"/>
          <w:szCs w:val="24"/>
        </w:rPr>
        <w:t>marketing</w:t>
      </w:r>
    </w:p>
    <w:p w14:paraId="38D48060" w14:textId="4865063D" w:rsidR="00A771F8" w:rsidRPr="009454B7" w:rsidRDefault="002132FD" w:rsidP="002132FD">
      <w:pPr>
        <w:pStyle w:val="ListParagraph"/>
        <w:numPr>
          <w:ilvl w:val="0"/>
          <w:numId w:val="12"/>
        </w:numPr>
        <w:rPr>
          <w:rFonts w:cstheme="minorHAnsi"/>
          <w:sz w:val="24"/>
          <w:szCs w:val="24"/>
        </w:rPr>
      </w:pPr>
      <w:r w:rsidRPr="009454B7">
        <w:rPr>
          <w:rFonts w:cstheme="minorHAnsi"/>
          <w:sz w:val="24"/>
          <w:szCs w:val="24"/>
        </w:rPr>
        <w:t>the standard &amp; quality of work</w:t>
      </w:r>
    </w:p>
    <w:p w14:paraId="66AD3F1B" w14:textId="64B487FB" w:rsidR="002132FD" w:rsidRDefault="002132FD" w:rsidP="002132FD">
      <w:pPr>
        <w:rPr>
          <w:rFonts w:cstheme="minorHAnsi"/>
          <w:sz w:val="24"/>
          <w:szCs w:val="24"/>
        </w:rPr>
      </w:pPr>
      <w:r w:rsidRPr="009454B7">
        <w:rPr>
          <w:rFonts w:cstheme="minorHAnsi"/>
          <w:sz w:val="24"/>
          <w:szCs w:val="24"/>
        </w:rPr>
        <w:t xml:space="preserve">This will be </w:t>
      </w:r>
      <w:bookmarkStart w:id="1" w:name="_Hlk53315757"/>
      <w:r w:rsidRPr="009454B7">
        <w:rPr>
          <w:rFonts w:cstheme="minorHAnsi"/>
          <w:sz w:val="24"/>
          <w:szCs w:val="24"/>
        </w:rPr>
        <w:t>developed in collaboration with builders/developers and enable them and buyers to know the standards expected</w:t>
      </w:r>
      <w:bookmarkEnd w:id="1"/>
      <w:r w:rsidRPr="009454B7">
        <w:rPr>
          <w:rFonts w:cstheme="minorHAnsi"/>
          <w:sz w:val="24"/>
          <w:szCs w:val="24"/>
        </w:rPr>
        <w:t>. Builder/Developers will have to advertise their registration with the Ombud</w:t>
      </w:r>
      <w:r w:rsidR="009841A7" w:rsidRPr="009454B7">
        <w:rPr>
          <w:rFonts w:cstheme="minorHAnsi"/>
          <w:sz w:val="24"/>
          <w:szCs w:val="24"/>
        </w:rPr>
        <w:t>sman to buyers.</w:t>
      </w:r>
    </w:p>
    <w:p w14:paraId="7CD197F9" w14:textId="77777777" w:rsidR="009454B7" w:rsidRPr="009454B7" w:rsidRDefault="009454B7" w:rsidP="002132FD">
      <w:pPr>
        <w:rPr>
          <w:rFonts w:cstheme="minorHAnsi"/>
          <w:sz w:val="24"/>
          <w:szCs w:val="24"/>
        </w:rPr>
      </w:pPr>
    </w:p>
    <w:p w14:paraId="069B8163" w14:textId="65875D3A" w:rsidR="00E861C3" w:rsidRPr="009454B7" w:rsidRDefault="00DB57B4" w:rsidP="00E861C3">
      <w:pPr>
        <w:rPr>
          <w:rFonts w:cstheme="minorHAnsi"/>
          <w:b/>
          <w:bCs/>
          <w:color w:val="7030A0"/>
          <w:sz w:val="24"/>
          <w:szCs w:val="24"/>
        </w:rPr>
      </w:pPr>
      <w:r>
        <w:rPr>
          <w:rFonts w:cstheme="minorHAnsi"/>
          <w:b/>
          <w:bCs/>
          <w:color w:val="7030A0"/>
          <w:sz w:val="24"/>
          <w:szCs w:val="24"/>
        </w:rPr>
        <w:t>Some discussions for S.Net might be</w:t>
      </w:r>
      <w:r w:rsidR="009454B7">
        <w:rPr>
          <w:rFonts w:cstheme="minorHAnsi"/>
          <w:b/>
          <w:bCs/>
          <w:color w:val="7030A0"/>
          <w:sz w:val="24"/>
          <w:szCs w:val="24"/>
        </w:rPr>
        <w:t>:</w:t>
      </w:r>
    </w:p>
    <w:p w14:paraId="49E45E0F" w14:textId="56436C3E" w:rsidR="00E861C3" w:rsidRPr="009454B7" w:rsidRDefault="00E861C3" w:rsidP="00E861C3">
      <w:pPr>
        <w:ind w:left="720" w:hanging="360"/>
        <w:rPr>
          <w:rFonts w:cstheme="minorHAnsi"/>
          <w:sz w:val="24"/>
          <w:szCs w:val="24"/>
        </w:rPr>
      </w:pPr>
      <w:r w:rsidRPr="009454B7">
        <w:rPr>
          <w:rFonts w:cstheme="minorHAnsi"/>
          <w:b/>
          <w:bCs/>
          <w:sz w:val="24"/>
          <w:szCs w:val="24"/>
        </w:rPr>
        <w:t>a)</w:t>
      </w:r>
      <w:r w:rsidRPr="009454B7">
        <w:rPr>
          <w:rFonts w:cstheme="minorHAnsi"/>
          <w:b/>
          <w:bCs/>
          <w:sz w:val="24"/>
          <w:szCs w:val="24"/>
        </w:rPr>
        <w:tab/>
        <w:t>Clarity of responsibilities for those building and managing buildings</w:t>
      </w:r>
      <w:r w:rsidR="00DB57B4">
        <w:rPr>
          <w:rFonts w:cstheme="minorHAnsi"/>
          <w:b/>
          <w:bCs/>
          <w:sz w:val="24"/>
          <w:szCs w:val="24"/>
        </w:rPr>
        <w:t xml:space="preserve"> for residents</w:t>
      </w:r>
    </w:p>
    <w:p w14:paraId="03055205" w14:textId="057EA4AB" w:rsidR="00E861C3" w:rsidRPr="009454B7" w:rsidRDefault="00E861C3" w:rsidP="00DB57B4">
      <w:pPr>
        <w:spacing w:line="256" w:lineRule="auto"/>
        <w:ind w:firstLine="360"/>
        <w:rPr>
          <w:rFonts w:cstheme="minorHAnsi"/>
          <w:sz w:val="24"/>
          <w:szCs w:val="24"/>
        </w:rPr>
      </w:pPr>
      <w:r w:rsidRPr="009454B7">
        <w:rPr>
          <w:rFonts w:cstheme="minorHAnsi"/>
          <w:b/>
          <w:bCs/>
          <w:sz w:val="24"/>
          <w:szCs w:val="24"/>
        </w:rPr>
        <w:t>b)</w:t>
      </w:r>
      <w:r w:rsidRPr="009454B7">
        <w:rPr>
          <w:rFonts w:cstheme="minorHAnsi"/>
          <w:b/>
          <w:bCs/>
          <w:sz w:val="24"/>
          <w:szCs w:val="24"/>
        </w:rPr>
        <w:tab/>
        <w:t>A stronger voice and better information to residents</w:t>
      </w:r>
    </w:p>
    <w:p w14:paraId="1316F7A8" w14:textId="77777777" w:rsidR="00E861C3" w:rsidRPr="009454B7" w:rsidRDefault="00E861C3" w:rsidP="00E861C3">
      <w:pPr>
        <w:spacing w:after="0"/>
        <w:ind w:left="360"/>
        <w:rPr>
          <w:rFonts w:cstheme="minorHAnsi"/>
          <w:b/>
          <w:bCs/>
          <w:sz w:val="24"/>
          <w:szCs w:val="24"/>
        </w:rPr>
      </w:pPr>
    </w:p>
    <w:sectPr w:rsidR="00E861C3" w:rsidRPr="00945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1D42"/>
    <w:multiLevelType w:val="hybridMultilevel"/>
    <w:tmpl w:val="4C00F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912277"/>
    <w:multiLevelType w:val="hybridMultilevel"/>
    <w:tmpl w:val="E8F0EC40"/>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04113E"/>
    <w:multiLevelType w:val="hybridMultilevel"/>
    <w:tmpl w:val="605A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57197"/>
    <w:multiLevelType w:val="hybridMultilevel"/>
    <w:tmpl w:val="FF7E1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BE0231"/>
    <w:multiLevelType w:val="hybridMultilevel"/>
    <w:tmpl w:val="A370A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3B3A64"/>
    <w:multiLevelType w:val="hybridMultilevel"/>
    <w:tmpl w:val="B9A6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29562C"/>
    <w:multiLevelType w:val="hybridMultilevel"/>
    <w:tmpl w:val="53E63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4C1FA0"/>
    <w:multiLevelType w:val="hybridMultilevel"/>
    <w:tmpl w:val="03563E5E"/>
    <w:lvl w:ilvl="0" w:tplc="174E4CC6">
      <w:start w:val="1"/>
      <w:numFmt w:val="bullet"/>
      <w:lvlText w:val="•"/>
      <w:lvlJc w:val="left"/>
      <w:pPr>
        <w:tabs>
          <w:tab w:val="num" w:pos="720"/>
        </w:tabs>
        <w:ind w:left="720" w:hanging="360"/>
      </w:pPr>
      <w:rPr>
        <w:rFonts w:ascii="Arial" w:hAnsi="Arial" w:cs="Times New Roman" w:hint="default"/>
      </w:rPr>
    </w:lvl>
    <w:lvl w:ilvl="1" w:tplc="DDEC5C4C">
      <w:start w:val="1"/>
      <w:numFmt w:val="bullet"/>
      <w:lvlText w:val="•"/>
      <w:lvlJc w:val="left"/>
      <w:pPr>
        <w:tabs>
          <w:tab w:val="num" w:pos="1440"/>
        </w:tabs>
        <w:ind w:left="1440" w:hanging="360"/>
      </w:pPr>
      <w:rPr>
        <w:rFonts w:ascii="Arial" w:hAnsi="Arial" w:cs="Times New Roman" w:hint="default"/>
      </w:rPr>
    </w:lvl>
    <w:lvl w:ilvl="2" w:tplc="35F8B756">
      <w:start w:val="1"/>
      <w:numFmt w:val="bullet"/>
      <w:lvlText w:val="•"/>
      <w:lvlJc w:val="left"/>
      <w:pPr>
        <w:tabs>
          <w:tab w:val="num" w:pos="2160"/>
        </w:tabs>
        <w:ind w:left="2160" w:hanging="360"/>
      </w:pPr>
      <w:rPr>
        <w:rFonts w:ascii="Arial" w:hAnsi="Arial" w:cs="Times New Roman" w:hint="default"/>
      </w:rPr>
    </w:lvl>
    <w:lvl w:ilvl="3" w:tplc="EBEC5654">
      <w:start w:val="1"/>
      <w:numFmt w:val="bullet"/>
      <w:lvlText w:val="•"/>
      <w:lvlJc w:val="left"/>
      <w:pPr>
        <w:tabs>
          <w:tab w:val="num" w:pos="2880"/>
        </w:tabs>
        <w:ind w:left="2880" w:hanging="360"/>
      </w:pPr>
      <w:rPr>
        <w:rFonts w:ascii="Arial" w:hAnsi="Arial" w:cs="Times New Roman" w:hint="default"/>
      </w:rPr>
    </w:lvl>
    <w:lvl w:ilvl="4" w:tplc="67FEF194">
      <w:start w:val="1"/>
      <w:numFmt w:val="bullet"/>
      <w:lvlText w:val="•"/>
      <w:lvlJc w:val="left"/>
      <w:pPr>
        <w:tabs>
          <w:tab w:val="num" w:pos="3600"/>
        </w:tabs>
        <w:ind w:left="3600" w:hanging="360"/>
      </w:pPr>
      <w:rPr>
        <w:rFonts w:ascii="Arial" w:hAnsi="Arial" w:cs="Times New Roman" w:hint="default"/>
      </w:rPr>
    </w:lvl>
    <w:lvl w:ilvl="5" w:tplc="43244AFA">
      <w:start w:val="1"/>
      <w:numFmt w:val="bullet"/>
      <w:lvlText w:val="•"/>
      <w:lvlJc w:val="left"/>
      <w:pPr>
        <w:tabs>
          <w:tab w:val="num" w:pos="4320"/>
        </w:tabs>
        <w:ind w:left="4320" w:hanging="360"/>
      </w:pPr>
      <w:rPr>
        <w:rFonts w:ascii="Arial" w:hAnsi="Arial" w:cs="Times New Roman" w:hint="default"/>
      </w:rPr>
    </w:lvl>
    <w:lvl w:ilvl="6" w:tplc="D4A44ADA">
      <w:start w:val="1"/>
      <w:numFmt w:val="bullet"/>
      <w:lvlText w:val="•"/>
      <w:lvlJc w:val="left"/>
      <w:pPr>
        <w:tabs>
          <w:tab w:val="num" w:pos="5040"/>
        </w:tabs>
        <w:ind w:left="5040" w:hanging="360"/>
      </w:pPr>
      <w:rPr>
        <w:rFonts w:ascii="Arial" w:hAnsi="Arial" w:cs="Times New Roman" w:hint="default"/>
      </w:rPr>
    </w:lvl>
    <w:lvl w:ilvl="7" w:tplc="0790633C">
      <w:start w:val="1"/>
      <w:numFmt w:val="bullet"/>
      <w:lvlText w:val="•"/>
      <w:lvlJc w:val="left"/>
      <w:pPr>
        <w:tabs>
          <w:tab w:val="num" w:pos="5760"/>
        </w:tabs>
        <w:ind w:left="5760" w:hanging="360"/>
      </w:pPr>
      <w:rPr>
        <w:rFonts w:ascii="Arial" w:hAnsi="Arial" w:cs="Times New Roman" w:hint="default"/>
      </w:rPr>
    </w:lvl>
    <w:lvl w:ilvl="8" w:tplc="85686CC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6FF14AA2"/>
    <w:multiLevelType w:val="hybridMultilevel"/>
    <w:tmpl w:val="E408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9D6FAF"/>
    <w:multiLevelType w:val="hybridMultilevel"/>
    <w:tmpl w:val="AEC2D1A6"/>
    <w:lvl w:ilvl="0" w:tplc="4C6AD812">
      <w:start w:val="1"/>
      <w:numFmt w:val="bullet"/>
      <w:lvlText w:val="•"/>
      <w:lvlJc w:val="left"/>
      <w:pPr>
        <w:tabs>
          <w:tab w:val="num" w:pos="720"/>
        </w:tabs>
        <w:ind w:left="720" w:hanging="360"/>
      </w:pPr>
      <w:rPr>
        <w:rFonts w:ascii="Arial" w:hAnsi="Arial" w:cs="Times New Roman" w:hint="default"/>
      </w:rPr>
    </w:lvl>
    <w:lvl w:ilvl="1" w:tplc="AE6AB3E8">
      <w:start w:val="1"/>
      <w:numFmt w:val="bullet"/>
      <w:lvlText w:val="•"/>
      <w:lvlJc w:val="left"/>
      <w:pPr>
        <w:tabs>
          <w:tab w:val="num" w:pos="1440"/>
        </w:tabs>
        <w:ind w:left="1440" w:hanging="360"/>
      </w:pPr>
      <w:rPr>
        <w:rFonts w:ascii="Arial" w:hAnsi="Arial" w:cs="Times New Roman" w:hint="default"/>
      </w:rPr>
    </w:lvl>
    <w:lvl w:ilvl="2" w:tplc="6EC05D0A">
      <w:start w:val="1"/>
      <w:numFmt w:val="bullet"/>
      <w:lvlText w:val="•"/>
      <w:lvlJc w:val="left"/>
      <w:pPr>
        <w:tabs>
          <w:tab w:val="num" w:pos="2160"/>
        </w:tabs>
        <w:ind w:left="2160" w:hanging="360"/>
      </w:pPr>
      <w:rPr>
        <w:rFonts w:ascii="Arial" w:hAnsi="Arial" w:cs="Times New Roman" w:hint="default"/>
      </w:rPr>
    </w:lvl>
    <w:lvl w:ilvl="3" w:tplc="D4821756">
      <w:start w:val="1"/>
      <w:numFmt w:val="bullet"/>
      <w:lvlText w:val="•"/>
      <w:lvlJc w:val="left"/>
      <w:pPr>
        <w:tabs>
          <w:tab w:val="num" w:pos="2880"/>
        </w:tabs>
        <w:ind w:left="2880" w:hanging="360"/>
      </w:pPr>
      <w:rPr>
        <w:rFonts w:ascii="Arial" w:hAnsi="Arial" w:cs="Times New Roman" w:hint="default"/>
      </w:rPr>
    </w:lvl>
    <w:lvl w:ilvl="4" w:tplc="A0E0342E">
      <w:start w:val="1"/>
      <w:numFmt w:val="bullet"/>
      <w:lvlText w:val="•"/>
      <w:lvlJc w:val="left"/>
      <w:pPr>
        <w:tabs>
          <w:tab w:val="num" w:pos="3600"/>
        </w:tabs>
        <w:ind w:left="3600" w:hanging="360"/>
      </w:pPr>
      <w:rPr>
        <w:rFonts w:ascii="Arial" w:hAnsi="Arial" w:cs="Times New Roman" w:hint="default"/>
      </w:rPr>
    </w:lvl>
    <w:lvl w:ilvl="5" w:tplc="18D2AFB4">
      <w:start w:val="1"/>
      <w:numFmt w:val="bullet"/>
      <w:lvlText w:val="•"/>
      <w:lvlJc w:val="left"/>
      <w:pPr>
        <w:tabs>
          <w:tab w:val="num" w:pos="4320"/>
        </w:tabs>
        <w:ind w:left="4320" w:hanging="360"/>
      </w:pPr>
      <w:rPr>
        <w:rFonts w:ascii="Arial" w:hAnsi="Arial" w:cs="Times New Roman" w:hint="default"/>
      </w:rPr>
    </w:lvl>
    <w:lvl w:ilvl="6" w:tplc="3594E0FE">
      <w:start w:val="1"/>
      <w:numFmt w:val="bullet"/>
      <w:lvlText w:val="•"/>
      <w:lvlJc w:val="left"/>
      <w:pPr>
        <w:tabs>
          <w:tab w:val="num" w:pos="5040"/>
        </w:tabs>
        <w:ind w:left="5040" w:hanging="360"/>
      </w:pPr>
      <w:rPr>
        <w:rFonts w:ascii="Arial" w:hAnsi="Arial" w:cs="Times New Roman" w:hint="default"/>
      </w:rPr>
    </w:lvl>
    <w:lvl w:ilvl="7" w:tplc="2C7E40D2">
      <w:start w:val="1"/>
      <w:numFmt w:val="bullet"/>
      <w:lvlText w:val="•"/>
      <w:lvlJc w:val="left"/>
      <w:pPr>
        <w:tabs>
          <w:tab w:val="num" w:pos="5760"/>
        </w:tabs>
        <w:ind w:left="5760" w:hanging="360"/>
      </w:pPr>
      <w:rPr>
        <w:rFonts w:ascii="Arial" w:hAnsi="Arial" w:cs="Times New Roman" w:hint="default"/>
      </w:rPr>
    </w:lvl>
    <w:lvl w:ilvl="8" w:tplc="0692653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793B22CA"/>
    <w:multiLevelType w:val="hybridMultilevel"/>
    <w:tmpl w:val="B21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6"/>
  </w:num>
  <w:num w:numId="8">
    <w:abstractNumId w:val="5"/>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CE"/>
    <w:rsid w:val="000A2E4E"/>
    <w:rsid w:val="00142254"/>
    <w:rsid w:val="001D617E"/>
    <w:rsid w:val="002132FD"/>
    <w:rsid w:val="00265728"/>
    <w:rsid w:val="00277E64"/>
    <w:rsid w:val="002B26DE"/>
    <w:rsid w:val="00310484"/>
    <w:rsid w:val="003E710D"/>
    <w:rsid w:val="003F51A8"/>
    <w:rsid w:val="00462235"/>
    <w:rsid w:val="00481747"/>
    <w:rsid w:val="004B1F43"/>
    <w:rsid w:val="00512442"/>
    <w:rsid w:val="005426DF"/>
    <w:rsid w:val="005613F1"/>
    <w:rsid w:val="00573994"/>
    <w:rsid w:val="005765FF"/>
    <w:rsid w:val="005849F2"/>
    <w:rsid w:val="005D6221"/>
    <w:rsid w:val="00655314"/>
    <w:rsid w:val="00826942"/>
    <w:rsid w:val="009454B7"/>
    <w:rsid w:val="009841A7"/>
    <w:rsid w:val="009A2577"/>
    <w:rsid w:val="009D31CE"/>
    <w:rsid w:val="00A44C13"/>
    <w:rsid w:val="00A771F8"/>
    <w:rsid w:val="00AA757C"/>
    <w:rsid w:val="00AB126C"/>
    <w:rsid w:val="00AB5661"/>
    <w:rsid w:val="00AE09FC"/>
    <w:rsid w:val="00C13E1D"/>
    <w:rsid w:val="00CA575E"/>
    <w:rsid w:val="00D6481A"/>
    <w:rsid w:val="00D96FF3"/>
    <w:rsid w:val="00DA46C5"/>
    <w:rsid w:val="00DB57B4"/>
    <w:rsid w:val="00E861C3"/>
    <w:rsid w:val="00E9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F161"/>
  <w15:chartTrackingRefBased/>
  <w15:docId w15:val="{84EFE4A0-4F66-4952-93D1-D459DE86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5FF"/>
    <w:pPr>
      <w:ind w:left="720"/>
      <w:contextualSpacing/>
    </w:pPr>
  </w:style>
  <w:style w:type="character" w:styleId="Hyperlink">
    <w:name w:val="Hyperlink"/>
    <w:basedOn w:val="DefaultParagraphFont"/>
    <w:uiPriority w:val="99"/>
    <w:unhideWhenUsed/>
    <w:rsid w:val="00AB126C"/>
    <w:rPr>
      <w:color w:val="0563C1" w:themeColor="hyperlink"/>
      <w:u w:val="single"/>
    </w:rPr>
  </w:style>
  <w:style w:type="character" w:styleId="UnresolvedMention">
    <w:name w:val="Unresolved Mention"/>
    <w:basedOn w:val="DefaultParagraphFont"/>
    <w:uiPriority w:val="99"/>
    <w:semiHidden/>
    <w:unhideWhenUsed/>
    <w:rsid w:val="00AB126C"/>
    <w:rPr>
      <w:color w:val="605E5C"/>
      <w:shd w:val="clear" w:color="auto" w:fill="E1DFDD"/>
    </w:rPr>
  </w:style>
  <w:style w:type="paragraph" w:styleId="NormalWeb">
    <w:name w:val="Normal (Web)"/>
    <w:basedOn w:val="Normal"/>
    <w:uiPriority w:val="99"/>
    <w:semiHidden/>
    <w:unhideWhenUsed/>
    <w:rsid w:val="00E86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61C3"/>
    <w:rPr>
      <w:color w:val="954F72" w:themeColor="followedHyperlink"/>
      <w:u w:val="single"/>
    </w:rPr>
  </w:style>
  <w:style w:type="paragraph" w:styleId="BalloonText">
    <w:name w:val="Balloon Text"/>
    <w:basedOn w:val="Normal"/>
    <w:link w:val="BalloonTextChar"/>
    <w:uiPriority w:val="99"/>
    <w:semiHidden/>
    <w:unhideWhenUsed/>
    <w:rsid w:val="00D64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1A"/>
    <w:rPr>
      <w:rFonts w:ascii="Segoe UI" w:hAnsi="Segoe UI" w:cs="Segoe UI"/>
      <w:sz w:val="18"/>
      <w:szCs w:val="18"/>
    </w:rPr>
  </w:style>
  <w:style w:type="table" w:styleId="TableGrid">
    <w:name w:val="Table Grid"/>
    <w:basedOn w:val="TableNormal"/>
    <w:uiPriority w:val="39"/>
    <w:rsid w:val="00D96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39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bills/lbill/58-01/132/5801132.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00943/Circular_letter_-_July_2020_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07785/Building_a_Safer_Future_-_web.pdf" TargetMode="External"/><Relationship Id="rId5" Type="http://schemas.openxmlformats.org/officeDocument/2006/relationships/hyperlink" Target="https://assets.publishing.service.gov.uk/government/uploads/system/uploads/attachment_data/file/906737/Draft_Building_Safety_Bill_Web_Accessibl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keywords/>
  <dc:description/>
  <cp:lastModifiedBy>YVONNE DAVIES</cp:lastModifiedBy>
  <cp:revision>3</cp:revision>
  <dcterms:created xsi:type="dcterms:W3CDTF">2020-10-13T07:49:00Z</dcterms:created>
  <dcterms:modified xsi:type="dcterms:W3CDTF">2020-10-13T07:50:00Z</dcterms:modified>
</cp:coreProperties>
</file>