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FC1C8A" w14:textId="42099969" w:rsidR="007C1CFD" w:rsidRDefault="00392E37">
      <w:pPr>
        <w:rPr>
          <w:b/>
          <w:bCs/>
        </w:rPr>
      </w:pPr>
      <w:r>
        <w:rPr>
          <w:b/>
          <w:bCs/>
        </w:rPr>
        <w:t>RJs and GUR listing</w:t>
      </w:r>
      <w:r w:rsidR="00443FF3">
        <w:rPr>
          <w:b/>
          <w:bCs/>
        </w:rPr>
        <w:t xml:space="preserve"> article</w:t>
      </w:r>
    </w:p>
    <w:p w14:paraId="31654BE4" w14:textId="5E442FF8" w:rsidR="007C1CFD" w:rsidRDefault="00FE2711">
      <w:r>
        <w:t xml:space="preserve">February was a relatively quiet month for the </w:t>
      </w:r>
      <w:r w:rsidR="007C1CFD">
        <w:t xml:space="preserve">Regulator of Social Housing (RSH) </w:t>
      </w:r>
      <w:r>
        <w:t>in terms of publishing</w:t>
      </w:r>
      <w:r w:rsidR="007C1CFD">
        <w:t xml:space="preserve"> Regulatory Judgements (RJs)</w:t>
      </w:r>
      <w:r>
        <w:t xml:space="preserve">.  Only three RJs were published, with two </w:t>
      </w:r>
      <w:r w:rsidR="002C4E67">
        <w:t>result</w:t>
      </w:r>
      <w:r>
        <w:t>ing</w:t>
      </w:r>
      <w:r w:rsidR="002C4E67">
        <w:t xml:space="preserve"> from</w:t>
      </w:r>
      <w:r w:rsidR="007C1CFD">
        <w:t xml:space="preserve"> stability checks </w:t>
      </w:r>
      <w:r>
        <w:t xml:space="preserve">and </w:t>
      </w:r>
      <w:r w:rsidR="002C4E67">
        <w:t xml:space="preserve">one </w:t>
      </w:r>
      <w:r>
        <w:t>following</w:t>
      </w:r>
      <w:r w:rsidR="002C4E67">
        <w:t xml:space="preserve"> an</w:t>
      </w:r>
      <w:r w:rsidR="007C1CFD">
        <w:t xml:space="preserve"> In Depth Assessment</w:t>
      </w:r>
      <w:r w:rsidR="002C4E67">
        <w:t xml:space="preserve"> (IDA)</w:t>
      </w:r>
      <w:r w:rsidR="007C1CFD">
        <w:t>.</w:t>
      </w:r>
    </w:p>
    <w:p w14:paraId="476F4E77" w14:textId="5B820758" w:rsidR="007C1CFD" w:rsidRDefault="00FE2711">
      <w:r>
        <w:t xml:space="preserve">As set out in the table below, all three providers </w:t>
      </w:r>
      <w:r w:rsidR="007C1CFD">
        <w:t>had their existing grades confirmed</w:t>
      </w:r>
      <w:r>
        <w:t xml:space="preserve">. </w:t>
      </w:r>
      <w:r w:rsidR="007C1CFD">
        <w:t xml:space="preserve"> </w:t>
      </w:r>
      <w:r>
        <w:t>Calico</w:t>
      </w:r>
      <w:r w:rsidR="007C1CFD">
        <w:t xml:space="preserve"> </w:t>
      </w:r>
      <w:r>
        <w:t>and First Choice Homes Oldham retained their ratings of</w:t>
      </w:r>
      <w:r w:rsidR="007C1CFD">
        <w:t xml:space="preserve"> G1 and V1 for Governance and Viability respectively</w:t>
      </w:r>
      <w:r>
        <w:t>, whilst Islington &amp; Shoreditch’s</w:t>
      </w:r>
      <w:r w:rsidR="002C4E67">
        <w:t xml:space="preserve"> </w:t>
      </w:r>
      <w:r>
        <w:t>was again assessed as</w:t>
      </w:r>
      <w:r w:rsidR="007C1CFD">
        <w:t xml:space="preserve"> G</w:t>
      </w:r>
      <w:r>
        <w:t>1</w:t>
      </w:r>
      <w:r w:rsidR="007C1CFD">
        <w:t xml:space="preserve"> for Governance and</w:t>
      </w:r>
      <w:r w:rsidR="002C4E67">
        <w:t xml:space="preserve"> V2</w:t>
      </w:r>
      <w:r w:rsidR="007C1CFD">
        <w:t xml:space="preserve"> </w:t>
      </w:r>
      <w:r w:rsidR="002C4E67">
        <w:t xml:space="preserve">for </w:t>
      </w:r>
      <w:r w:rsidR="007C1CFD">
        <w:t>Viability.</w:t>
      </w:r>
    </w:p>
    <w:p w14:paraId="61B560D1" w14:textId="77777777" w:rsidR="000636D4" w:rsidRDefault="000636D4" w:rsidP="000636D4">
      <w:r>
        <w:t xml:space="preserve">Islington &amp; Shoreditch is graded as V2 for Viability due to the level of expenditure on major repairs, which is putting pressure on its interest cover ratios and consequently the provider has limited capacity to cope with any downside financial risk, including any under-performance in relation to development and property sales on the open market.  </w:t>
      </w:r>
    </w:p>
    <w:tbl>
      <w:tblPr>
        <w:tblStyle w:val="TableGrid"/>
        <w:tblW w:w="9044" w:type="dxa"/>
        <w:tblLayout w:type="fixed"/>
        <w:tblLook w:val="04A0" w:firstRow="1" w:lastRow="0" w:firstColumn="1" w:lastColumn="0" w:noHBand="0" w:noVBand="1"/>
      </w:tblPr>
      <w:tblGrid>
        <w:gridCol w:w="2601"/>
        <w:gridCol w:w="1268"/>
        <w:gridCol w:w="1369"/>
        <w:gridCol w:w="1222"/>
        <w:gridCol w:w="1332"/>
        <w:gridCol w:w="1252"/>
      </w:tblGrid>
      <w:tr w:rsidR="000636D4" w14:paraId="048E8198" w14:textId="77777777" w:rsidTr="00604D57">
        <w:tc>
          <w:tcPr>
            <w:tcW w:w="2601" w:type="dxa"/>
            <w:vMerge w:val="restart"/>
            <w:vAlign w:val="center"/>
          </w:tcPr>
          <w:p w14:paraId="6249F926" w14:textId="1D7D4982" w:rsidR="000636D4" w:rsidRDefault="000636D4" w:rsidP="00B23F48">
            <w:pPr>
              <w:jc w:val="center"/>
            </w:pPr>
            <w:r w:rsidRPr="00FE2711">
              <w:rPr>
                <w:b/>
                <w:bCs/>
              </w:rPr>
              <w:t>Registered provider</w:t>
            </w:r>
          </w:p>
        </w:tc>
        <w:tc>
          <w:tcPr>
            <w:tcW w:w="1268" w:type="dxa"/>
            <w:vMerge w:val="restart"/>
            <w:vAlign w:val="center"/>
          </w:tcPr>
          <w:p w14:paraId="4AE80A89" w14:textId="770FE424" w:rsidR="000636D4" w:rsidRPr="00B23F48" w:rsidRDefault="000636D4" w:rsidP="00B23F48">
            <w:pPr>
              <w:jc w:val="center"/>
              <w:rPr>
                <w:b/>
                <w:bCs/>
              </w:rPr>
            </w:pPr>
            <w:r w:rsidRPr="00B23F48">
              <w:rPr>
                <w:b/>
                <w:bCs/>
              </w:rPr>
              <w:t>Route to publication</w:t>
            </w:r>
          </w:p>
        </w:tc>
        <w:tc>
          <w:tcPr>
            <w:tcW w:w="2591" w:type="dxa"/>
            <w:gridSpan w:val="2"/>
            <w:vAlign w:val="center"/>
          </w:tcPr>
          <w:p w14:paraId="42E8FA8B" w14:textId="13330DA1" w:rsidR="000636D4" w:rsidRPr="00B23F48" w:rsidRDefault="000636D4" w:rsidP="00B23F48">
            <w:pPr>
              <w:jc w:val="center"/>
              <w:rPr>
                <w:b/>
                <w:bCs/>
              </w:rPr>
            </w:pPr>
            <w:r>
              <w:rPr>
                <w:b/>
                <w:bCs/>
              </w:rPr>
              <w:t>Current judgement</w:t>
            </w:r>
          </w:p>
        </w:tc>
        <w:tc>
          <w:tcPr>
            <w:tcW w:w="2584" w:type="dxa"/>
            <w:gridSpan w:val="2"/>
            <w:vAlign w:val="center"/>
          </w:tcPr>
          <w:p w14:paraId="7EE078FD" w14:textId="6B4E9590" w:rsidR="000636D4" w:rsidRPr="00B23F48" w:rsidRDefault="000636D4" w:rsidP="00B23F48">
            <w:pPr>
              <w:jc w:val="center"/>
              <w:rPr>
                <w:b/>
                <w:bCs/>
              </w:rPr>
            </w:pPr>
            <w:r>
              <w:rPr>
                <w:b/>
                <w:bCs/>
              </w:rPr>
              <w:t>Previous judgement</w:t>
            </w:r>
          </w:p>
        </w:tc>
      </w:tr>
      <w:tr w:rsidR="000636D4" w14:paraId="3EF50BFF" w14:textId="77777777" w:rsidTr="00604D57">
        <w:tc>
          <w:tcPr>
            <w:tcW w:w="2601" w:type="dxa"/>
            <w:vMerge/>
            <w:vAlign w:val="center"/>
          </w:tcPr>
          <w:p w14:paraId="407E3969" w14:textId="4155772F" w:rsidR="000636D4" w:rsidRDefault="000636D4" w:rsidP="0035709D"/>
        </w:tc>
        <w:tc>
          <w:tcPr>
            <w:tcW w:w="1268" w:type="dxa"/>
            <w:vMerge/>
            <w:vAlign w:val="center"/>
          </w:tcPr>
          <w:p w14:paraId="456D3CBF" w14:textId="77777777" w:rsidR="000636D4" w:rsidRDefault="000636D4" w:rsidP="0035709D"/>
        </w:tc>
        <w:tc>
          <w:tcPr>
            <w:tcW w:w="1369" w:type="dxa"/>
            <w:vAlign w:val="center"/>
          </w:tcPr>
          <w:p w14:paraId="4C245CF9" w14:textId="47740729" w:rsidR="000636D4" w:rsidRPr="0035709D" w:rsidRDefault="000636D4" w:rsidP="0035709D">
            <w:pPr>
              <w:jc w:val="center"/>
              <w:rPr>
                <w:b/>
                <w:bCs/>
              </w:rPr>
            </w:pPr>
            <w:r w:rsidRPr="0035709D">
              <w:rPr>
                <w:b/>
                <w:bCs/>
              </w:rPr>
              <w:t>Governance</w:t>
            </w:r>
          </w:p>
        </w:tc>
        <w:tc>
          <w:tcPr>
            <w:tcW w:w="1222" w:type="dxa"/>
            <w:vAlign w:val="center"/>
          </w:tcPr>
          <w:p w14:paraId="0AC04FCB" w14:textId="096F02B4" w:rsidR="000636D4" w:rsidRPr="0035709D" w:rsidRDefault="000636D4" w:rsidP="0035709D">
            <w:pPr>
              <w:jc w:val="center"/>
              <w:rPr>
                <w:b/>
                <w:bCs/>
              </w:rPr>
            </w:pPr>
            <w:r w:rsidRPr="0035709D">
              <w:rPr>
                <w:b/>
                <w:bCs/>
              </w:rPr>
              <w:t>Viability</w:t>
            </w:r>
          </w:p>
        </w:tc>
        <w:tc>
          <w:tcPr>
            <w:tcW w:w="1332" w:type="dxa"/>
            <w:vAlign w:val="center"/>
          </w:tcPr>
          <w:p w14:paraId="0E178C82" w14:textId="45DA6DA1" w:rsidR="000636D4" w:rsidRDefault="000636D4" w:rsidP="0035709D">
            <w:r w:rsidRPr="0035709D">
              <w:rPr>
                <w:b/>
                <w:bCs/>
              </w:rPr>
              <w:t>Governance</w:t>
            </w:r>
          </w:p>
        </w:tc>
        <w:tc>
          <w:tcPr>
            <w:tcW w:w="1252" w:type="dxa"/>
            <w:vAlign w:val="center"/>
          </w:tcPr>
          <w:p w14:paraId="0EC1E183" w14:textId="67AC81DE" w:rsidR="000636D4" w:rsidRDefault="000636D4" w:rsidP="0035709D">
            <w:r w:rsidRPr="0035709D">
              <w:rPr>
                <w:b/>
                <w:bCs/>
              </w:rPr>
              <w:t>Viability</w:t>
            </w:r>
          </w:p>
        </w:tc>
      </w:tr>
      <w:tr w:rsidR="0035709D" w14:paraId="6DB3CF64" w14:textId="77777777" w:rsidTr="00604D57">
        <w:tc>
          <w:tcPr>
            <w:tcW w:w="2601" w:type="dxa"/>
            <w:vAlign w:val="center"/>
          </w:tcPr>
          <w:p w14:paraId="1DFDC815" w14:textId="1B2235B8" w:rsidR="0035709D" w:rsidRDefault="0035709D">
            <w:r>
              <w:t>Calico Homes</w:t>
            </w:r>
          </w:p>
        </w:tc>
        <w:tc>
          <w:tcPr>
            <w:tcW w:w="1268" w:type="dxa"/>
            <w:vAlign w:val="center"/>
          </w:tcPr>
          <w:p w14:paraId="2BF17D82" w14:textId="303833E4" w:rsidR="0035709D" w:rsidRDefault="0035709D" w:rsidP="00B23F48">
            <w:pPr>
              <w:jc w:val="center"/>
            </w:pPr>
            <w:r>
              <w:t>IDA</w:t>
            </w:r>
          </w:p>
        </w:tc>
        <w:tc>
          <w:tcPr>
            <w:tcW w:w="1369" w:type="dxa"/>
            <w:vAlign w:val="center"/>
          </w:tcPr>
          <w:p w14:paraId="7822C775" w14:textId="6E18BEAD" w:rsidR="0035709D" w:rsidRDefault="00604D57" w:rsidP="00604D57">
            <w:pPr>
              <w:jc w:val="center"/>
            </w:pPr>
            <w:r>
              <w:t>G1</w:t>
            </w:r>
          </w:p>
        </w:tc>
        <w:tc>
          <w:tcPr>
            <w:tcW w:w="1222" w:type="dxa"/>
            <w:vAlign w:val="center"/>
          </w:tcPr>
          <w:p w14:paraId="6A68C0B0" w14:textId="3508E302" w:rsidR="0035709D" w:rsidRDefault="00604D57" w:rsidP="00604D57">
            <w:pPr>
              <w:jc w:val="center"/>
            </w:pPr>
            <w:r>
              <w:t>V1</w:t>
            </w:r>
          </w:p>
        </w:tc>
        <w:tc>
          <w:tcPr>
            <w:tcW w:w="1332" w:type="dxa"/>
            <w:vAlign w:val="center"/>
          </w:tcPr>
          <w:p w14:paraId="6435AB63" w14:textId="718387D7" w:rsidR="0035709D" w:rsidRDefault="00604D57" w:rsidP="00604D57">
            <w:pPr>
              <w:jc w:val="center"/>
            </w:pPr>
            <w:r>
              <w:t>G1</w:t>
            </w:r>
          </w:p>
        </w:tc>
        <w:tc>
          <w:tcPr>
            <w:tcW w:w="1252" w:type="dxa"/>
            <w:vAlign w:val="center"/>
          </w:tcPr>
          <w:p w14:paraId="4FB4FF52" w14:textId="2108CA97" w:rsidR="0035709D" w:rsidRDefault="00604D57" w:rsidP="00604D57">
            <w:pPr>
              <w:jc w:val="center"/>
            </w:pPr>
            <w:r>
              <w:t>V1</w:t>
            </w:r>
          </w:p>
        </w:tc>
      </w:tr>
      <w:tr w:rsidR="00604D57" w14:paraId="1512BB31" w14:textId="77777777" w:rsidTr="00604D57">
        <w:tc>
          <w:tcPr>
            <w:tcW w:w="2601" w:type="dxa"/>
            <w:vAlign w:val="center"/>
          </w:tcPr>
          <w:p w14:paraId="6EEDC390" w14:textId="2400E75B" w:rsidR="00604D57" w:rsidRDefault="00604D57" w:rsidP="00604D57">
            <w:r>
              <w:t xml:space="preserve">First Choice Homes Oldham </w:t>
            </w:r>
          </w:p>
        </w:tc>
        <w:tc>
          <w:tcPr>
            <w:tcW w:w="1268" w:type="dxa"/>
            <w:vAlign w:val="center"/>
          </w:tcPr>
          <w:p w14:paraId="32746C57" w14:textId="0F2F05B7" w:rsidR="00604D57" w:rsidRDefault="00604D57" w:rsidP="00604D57">
            <w:pPr>
              <w:jc w:val="center"/>
            </w:pPr>
            <w:r>
              <w:t>Stability check</w:t>
            </w:r>
          </w:p>
        </w:tc>
        <w:tc>
          <w:tcPr>
            <w:tcW w:w="1369" w:type="dxa"/>
            <w:vAlign w:val="center"/>
          </w:tcPr>
          <w:p w14:paraId="4CCE615C" w14:textId="554CBA85" w:rsidR="00604D57" w:rsidRDefault="00604D57" w:rsidP="00604D57">
            <w:pPr>
              <w:jc w:val="center"/>
            </w:pPr>
            <w:r>
              <w:t>G1</w:t>
            </w:r>
          </w:p>
        </w:tc>
        <w:tc>
          <w:tcPr>
            <w:tcW w:w="1222" w:type="dxa"/>
            <w:vAlign w:val="center"/>
          </w:tcPr>
          <w:p w14:paraId="376D175A" w14:textId="7B9C53C9" w:rsidR="00604D57" w:rsidRDefault="00604D57" w:rsidP="00604D57">
            <w:pPr>
              <w:jc w:val="center"/>
            </w:pPr>
            <w:r>
              <w:t>V1</w:t>
            </w:r>
          </w:p>
        </w:tc>
        <w:tc>
          <w:tcPr>
            <w:tcW w:w="1332" w:type="dxa"/>
            <w:vAlign w:val="center"/>
          </w:tcPr>
          <w:p w14:paraId="5C11C52F" w14:textId="37472D32" w:rsidR="00604D57" w:rsidRDefault="00604D57" w:rsidP="00604D57">
            <w:pPr>
              <w:jc w:val="center"/>
            </w:pPr>
            <w:r>
              <w:t>G1</w:t>
            </w:r>
          </w:p>
        </w:tc>
        <w:tc>
          <w:tcPr>
            <w:tcW w:w="1252" w:type="dxa"/>
            <w:vAlign w:val="center"/>
          </w:tcPr>
          <w:p w14:paraId="6F25B80D" w14:textId="409DB5A6" w:rsidR="00604D57" w:rsidRDefault="00604D57" w:rsidP="00604D57">
            <w:pPr>
              <w:jc w:val="center"/>
            </w:pPr>
            <w:r>
              <w:t>V1</w:t>
            </w:r>
          </w:p>
        </w:tc>
      </w:tr>
      <w:tr w:rsidR="0035709D" w14:paraId="1A0B0BDD" w14:textId="77777777" w:rsidTr="00604D57">
        <w:tc>
          <w:tcPr>
            <w:tcW w:w="2601" w:type="dxa"/>
            <w:vAlign w:val="center"/>
          </w:tcPr>
          <w:p w14:paraId="5379DCC9" w14:textId="56CFBE4D" w:rsidR="0035709D" w:rsidRDefault="0035709D">
            <w:r>
              <w:t>Islington &amp; Shoreditch HA</w:t>
            </w:r>
          </w:p>
        </w:tc>
        <w:tc>
          <w:tcPr>
            <w:tcW w:w="1268" w:type="dxa"/>
            <w:vAlign w:val="center"/>
          </w:tcPr>
          <w:p w14:paraId="0517F98B" w14:textId="6EC90287" w:rsidR="0035709D" w:rsidRDefault="0035709D" w:rsidP="00B23F48">
            <w:pPr>
              <w:jc w:val="center"/>
            </w:pPr>
            <w:r>
              <w:t>Stability check</w:t>
            </w:r>
          </w:p>
        </w:tc>
        <w:tc>
          <w:tcPr>
            <w:tcW w:w="1369" w:type="dxa"/>
            <w:vAlign w:val="center"/>
          </w:tcPr>
          <w:p w14:paraId="17E4101B" w14:textId="471EE8E1" w:rsidR="0035709D" w:rsidRDefault="00604D57" w:rsidP="00604D57">
            <w:pPr>
              <w:jc w:val="center"/>
            </w:pPr>
            <w:r>
              <w:t>G1</w:t>
            </w:r>
          </w:p>
        </w:tc>
        <w:tc>
          <w:tcPr>
            <w:tcW w:w="1222" w:type="dxa"/>
            <w:vAlign w:val="center"/>
          </w:tcPr>
          <w:p w14:paraId="03CCF9E7" w14:textId="26E04044" w:rsidR="0035709D" w:rsidRDefault="00604D57" w:rsidP="00604D57">
            <w:pPr>
              <w:jc w:val="center"/>
            </w:pPr>
            <w:r>
              <w:t>V2</w:t>
            </w:r>
          </w:p>
        </w:tc>
        <w:tc>
          <w:tcPr>
            <w:tcW w:w="1332" w:type="dxa"/>
            <w:vAlign w:val="center"/>
          </w:tcPr>
          <w:p w14:paraId="1D841F1D" w14:textId="2EE1FB20" w:rsidR="0035709D" w:rsidRDefault="00604D57" w:rsidP="00604D57">
            <w:pPr>
              <w:jc w:val="center"/>
            </w:pPr>
            <w:r>
              <w:t>G1</w:t>
            </w:r>
          </w:p>
        </w:tc>
        <w:tc>
          <w:tcPr>
            <w:tcW w:w="1252" w:type="dxa"/>
            <w:vAlign w:val="center"/>
          </w:tcPr>
          <w:p w14:paraId="699BD36E" w14:textId="75CED86C" w:rsidR="0035709D" w:rsidRDefault="00604D57" w:rsidP="00604D57">
            <w:pPr>
              <w:jc w:val="center"/>
            </w:pPr>
            <w:r>
              <w:t>V2</w:t>
            </w:r>
          </w:p>
        </w:tc>
      </w:tr>
    </w:tbl>
    <w:p w14:paraId="38995AB7" w14:textId="32E38C6C" w:rsidR="00FE2711" w:rsidRDefault="00FE2711"/>
    <w:p w14:paraId="01FC92BE" w14:textId="3C7C4668" w:rsidR="00C102D0" w:rsidRDefault="000636D4" w:rsidP="000636D4">
      <w:r>
        <w:t>The Regulator placed five providers – 3CHA, Ash-Shahada HA, Concept HA, Hilldale HA and Pivotal HA – on its Gradings Under Review (GUR) list during February.  None of the providers have existing grades on the RSH’s website, either because they have less than 1,000 homes or because they have recently passed the 1,000 homes threshold.</w:t>
      </w:r>
    </w:p>
    <w:sectPr w:rsidR="00C102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CFD"/>
    <w:rsid w:val="000636D4"/>
    <w:rsid w:val="00082412"/>
    <w:rsid w:val="001208C3"/>
    <w:rsid w:val="002C4E67"/>
    <w:rsid w:val="002F511C"/>
    <w:rsid w:val="0035709D"/>
    <w:rsid w:val="00386010"/>
    <w:rsid w:val="00392E37"/>
    <w:rsid w:val="00443FF3"/>
    <w:rsid w:val="00604D57"/>
    <w:rsid w:val="006141ED"/>
    <w:rsid w:val="007C1CFD"/>
    <w:rsid w:val="007F5A62"/>
    <w:rsid w:val="00A45C25"/>
    <w:rsid w:val="00A77A22"/>
    <w:rsid w:val="00B23F48"/>
    <w:rsid w:val="00C102D0"/>
    <w:rsid w:val="00C75CB5"/>
    <w:rsid w:val="00D41802"/>
    <w:rsid w:val="00FE27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896A2"/>
  <w15:chartTrackingRefBased/>
  <w15:docId w15:val="{58367420-B19C-45B8-B5B5-604D24427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271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C1C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E2711"/>
    <w:rPr>
      <w:sz w:val="16"/>
      <w:szCs w:val="16"/>
    </w:rPr>
  </w:style>
  <w:style w:type="paragraph" w:styleId="CommentText">
    <w:name w:val="annotation text"/>
    <w:basedOn w:val="Normal"/>
    <w:link w:val="CommentTextChar"/>
    <w:uiPriority w:val="99"/>
    <w:semiHidden/>
    <w:unhideWhenUsed/>
    <w:rsid w:val="00FE2711"/>
    <w:pPr>
      <w:spacing w:line="240" w:lineRule="auto"/>
    </w:pPr>
    <w:rPr>
      <w:sz w:val="20"/>
      <w:szCs w:val="20"/>
    </w:rPr>
  </w:style>
  <w:style w:type="character" w:customStyle="1" w:styleId="CommentTextChar">
    <w:name w:val="Comment Text Char"/>
    <w:basedOn w:val="DefaultParagraphFont"/>
    <w:link w:val="CommentText"/>
    <w:uiPriority w:val="99"/>
    <w:semiHidden/>
    <w:rsid w:val="00FE2711"/>
    <w:rPr>
      <w:sz w:val="20"/>
      <w:szCs w:val="20"/>
    </w:rPr>
  </w:style>
  <w:style w:type="paragraph" w:styleId="CommentSubject">
    <w:name w:val="annotation subject"/>
    <w:basedOn w:val="CommentText"/>
    <w:next w:val="CommentText"/>
    <w:link w:val="CommentSubjectChar"/>
    <w:uiPriority w:val="99"/>
    <w:semiHidden/>
    <w:unhideWhenUsed/>
    <w:rsid w:val="00FE2711"/>
    <w:rPr>
      <w:b/>
      <w:bCs/>
    </w:rPr>
  </w:style>
  <w:style w:type="character" w:customStyle="1" w:styleId="CommentSubjectChar">
    <w:name w:val="Comment Subject Char"/>
    <w:basedOn w:val="CommentTextChar"/>
    <w:link w:val="CommentSubject"/>
    <w:uiPriority w:val="99"/>
    <w:semiHidden/>
    <w:rsid w:val="00FE271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1</Pages>
  <Words>228</Words>
  <Characters>1304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Warner</dc:creator>
  <cp:keywords/>
  <dc:description/>
  <cp:lastModifiedBy>Mick Warner</cp:lastModifiedBy>
  <cp:revision>3</cp:revision>
  <cp:lastPrinted>2021-03-02T12:03:00Z</cp:lastPrinted>
  <dcterms:created xsi:type="dcterms:W3CDTF">2021-03-02T12:56:00Z</dcterms:created>
  <dcterms:modified xsi:type="dcterms:W3CDTF">2021-03-02T15:45:00Z</dcterms:modified>
</cp:coreProperties>
</file>